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overflowPunct/>
        <w:topLinePunct w:val="0"/>
        <w:bidi w:val="0"/>
        <w:adjustRightInd w:val="0"/>
        <w:spacing w:line="240" w:lineRule="auto"/>
        <w:jc w:val="left"/>
        <w:outlineLvl w:val="0"/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附件1</w:t>
      </w:r>
    </w:p>
    <w:p>
      <w:pPr>
        <w:pageBreakBefore w:val="0"/>
        <w:kinsoku/>
        <w:overflowPunct/>
        <w:topLinePunct w:val="0"/>
        <w:bidi w:val="0"/>
        <w:spacing w:line="24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2024年实体经济和数字经济深度融合典型案例</w:t>
      </w:r>
    </w:p>
    <w:p>
      <w:pPr>
        <w:pageBreakBefore w:val="0"/>
        <w:kinsoku/>
        <w:overflowPunct/>
        <w:topLinePunct w:val="0"/>
        <w:bidi w:val="0"/>
        <w:spacing w:line="240" w:lineRule="auto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要素条件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进一步促进实体经济和数字经济深度融合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，以信息化培育新动能，用新动能推动新发展，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加快新一代信息技术全方位全链条普及应用</w:t>
      </w: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，本次征集工作共设置以下4个方向、共1</w:t>
      </w:r>
      <w:r>
        <w:rPr>
          <w:rFonts w:hint="eastAsia" w:ascii="Times New Roman" w:hAnsi="Times New Roman" w:cs="Times New Roman"/>
          <w:color w:val="000000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个</w:t>
      </w:r>
      <w:r>
        <w:rPr>
          <w:rFonts w:hint="eastAsia" w:ascii="Times New Roman" w:hAnsi="Times New Roman" w:cs="Times New Roman"/>
          <w:color w:val="000000"/>
          <w:highlight w:val="none"/>
          <w:lang w:val="en-US" w:eastAsia="zh-CN"/>
        </w:rPr>
        <w:t>子</w:t>
      </w:r>
      <w:r>
        <w:rPr>
          <w:rFonts w:hint="default" w:ascii="Times New Roman" w:hAnsi="Times New Roman" w:cs="Times New Roman"/>
          <w:color w:val="000000"/>
          <w:highlight w:val="none"/>
          <w:lang w:val="en-US" w:eastAsia="zh-CN"/>
        </w:rPr>
        <w:t>方向。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pacing w:line="24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一、数字化转型通用工具产品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面向数字化通用工具产品，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  <w:t>聚焦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数字化转型过程中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  <w:t>数字化工具产品标准化程度不高、使用成本高、二次开发难度大等问题，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  <w:t>数字化感知和检测工具、数字化专用装置、数字化“中间件”、数字化边缘节点、SaaS化企业管理软件等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  <w:t>，遴选一批普适化、标准化、智能化通用工具产品应用典型案例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  <w:t>通过低成本、轻配置、普适性的数字化工具产品矩阵，引导企业加快数字化转型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（一）数字化感知和检测工具</w:t>
      </w:r>
    </w:p>
    <w:p>
      <w:pPr>
        <w:pageBreakBefore w:val="0"/>
        <w:widowControl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（1）物料感知类：指利用光谱、色谱、质谱等检测手段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取生产物料的材料成分、晶体结构等信息并实现数据分析的工具，包括但不限于光谱水质监测仪、液相色谱仪、气相色谱质谱联用仪等。（2）测量工具类：指运用X光、红外、激光、声波、电磁、压力等感知技术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测量产品的色差、体积、形状、质量、温度、位置等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并进行数据分析的工具，包括但不限于智能成像仪、智能游标卡尺、智能仪器仪表、雷达物位计等。（3）检测工具类：指运用3D视觉、机器学习、激光感知等技术，对产品质量、生产过程、运行状态、环境安全等进行性能检测、数据分析、监测预警的工具，包括但不限于缺陷检测仪、功能检测仪等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（二）数字化专用装置</w:t>
      </w:r>
    </w:p>
    <w:p>
      <w:pPr>
        <w:pageBreakBefore w:val="0"/>
        <w:widowControl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综合利用红外感知、激光感知、机器视觉、人机交互、机器学习等技术，实现研发设计、生产制造、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物流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运输等环节智能化应用的装置，包括但不限于装配机器人、喷涂机器人、智能立体仓库等单一功能或集成式工具。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（三）数字化“中间件”</w:t>
      </w:r>
    </w:p>
    <w:p>
      <w:pPr>
        <w:pageBreakBefore w:val="0"/>
        <w:widowControl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（1）硬件协议：指用于定义设备之间如何连接和沟通的规则，包括但不限于Modbus、OPC、UART等嵌入式工业通信接口协议。（2）应用软件连接件（接缝）：指基于数据字典体系规则开发的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用于实现不同应用软件之间数据交互、协议转换、安全隔离等功能的软件工具，包括但不限于软件接口适配工具、数据字典语义转换工具、数据字典测试验证工具、应用总线等。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（四）数字化边缘节点</w:t>
      </w:r>
    </w:p>
    <w:p>
      <w:pPr>
        <w:pageBreakBefore w:val="0"/>
        <w:widowControl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在数据源头的边缘侧具有融合网络、计算、存储、应用等核心能力的一体化数字化设备，实现工厂侧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</w:rPr>
        <w:t>局部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协同优化，包括但不限于边缘服务器、边缘网关、边缘控制器等智能设备。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（五）SaaS化企业管理软件</w:t>
      </w:r>
    </w:p>
    <w:p>
      <w:pPr>
        <w:pageBreakBefore w:val="0"/>
        <w:widowControl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围绕企业“研产供销服”过程中人财物的数字化管理目标，针对生产和经营的业务场景的共性需求，形成通用的功能、业务流程和数据智能等应用，如通过预置的嵌入式人工智能数据报表等功能，实现面向用户的场景化选配、即开即用、付费即用（标准化）的各类管理软件。包括但不限于ERP（企业资源计划）、协同办公、财务管理、人力资源管理、供应链管理、客户关系管理、精益管理等应用。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pacing w:line="24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二、工业互联网平台创新领航应用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/>
          <w14:ligatures w14:val="none"/>
        </w:rPr>
        <w:t>面向基于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  <w14:ligatures w14:val="none"/>
        </w:rPr>
        <w:t>工业互联网平台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/>
          <w14:ligatures w14:val="none"/>
        </w:rPr>
        <w:t>开展模式创新的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  <w14:ligatures w14:val="none"/>
        </w:rPr>
        <w:t>工业企业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cs="Times New Roman"/>
          <w:highlight w:val="none"/>
          <w:lang w:val="en-US" w:eastAsia="zh-CN"/>
        </w:rPr>
        <w:t>聚焦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数据难流通、跨环节难集成、企业难协同等问题，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</w:rPr>
        <w:t>平台化设计、数字化管理、智能化制造、网络化协同、个性化定制和服务化</w:t>
      </w:r>
      <w:r>
        <w:rPr>
          <w:rFonts w:hint="default" w:ascii="Times New Roman" w:hAnsi="Times New Roman" w:cs="Times New Roman"/>
          <w:sz w:val="32"/>
          <w:szCs w:val="20"/>
          <w:highlight w:val="none"/>
          <w:lang w:val="en-US" w:eastAsia="zh-CN"/>
        </w:rPr>
        <w:t>延伸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</w:rPr>
        <w:t>等</w:t>
      </w:r>
      <w:r>
        <w:rPr>
          <w:rFonts w:hint="default" w:ascii="Times New Roman" w:hAnsi="Times New Roman" w:cs="Times New Roman"/>
          <w:sz w:val="32"/>
          <w:szCs w:val="20"/>
          <w:highlight w:val="none"/>
          <w:lang w:val="en-US" w:eastAsia="zh-CN"/>
        </w:rPr>
        <w:t>方面</w:t>
      </w:r>
      <w:r>
        <w:rPr>
          <w:rFonts w:hint="default" w:ascii="Times New Roman" w:hAnsi="Times New Roman" w:eastAsia="仿宋_GB2312" w:cs="Times New Roman"/>
          <w:sz w:val="32"/>
          <w:szCs w:val="20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highlight w:val="none"/>
          <w:lang w:val="en-US" w:eastAsia="zh-CN"/>
        </w:rPr>
        <w:t>遴选</w:t>
      </w:r>
      <w:r>
        <w:rPr>
          <w:rFonts w:hint="default" w:ascii="Times New Roman" w:hAnsi="Times New Roman" w:cs="Times New Roman"/>
          <w:szCs w:val="32"/>
          <w:highlight w:val="none"/>
        </w:rPr>
        <w:t>一批技术先进、模式创新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szCs w:val="32"/>
          <w:highlight w:val="none"/>
        </w:rPr>
        <w:t>成效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突出</w:t>
      </w:r>
      <w:r>
        <w:rPr>
          <w:rFonts w:hint="default" w:ascii="Times New Roman" w:hAnsi="Times New Roman" w:cs="Times New Roman"/>
          <w:szCs w:val="32"/>
          <w:highlight w:val="none"/>
        </w:rPr>
        <w:t>、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规模推广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cs="Times New Roman"/>
          <w:szCs w:val="32"/>
          <w:highlight w:val="none"/>
        </w:rPr>
        <w:t>工业互联网平台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模式创新典型案例。通过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跨场景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highlight w:val="none"/>
          <w:lang w:val="en-US" w:eastAsia="zh-CN"/>
        </w:rPr>
        <w:t>协同的</w:t>
      </w:r>
      <w:r>
        <w:rPr>
          <w:rFonts w:hint="default" w:ascii="Times New Roman" w:hAnsi="Times New Roman" w:cs="Times New Roman"/>
          <w:szCs w:val="32"/>
          <w:highlight w:val="none"/>
          <w:lang w:val="en-US" w:eastAsia="zh-CN"/>
        </w:rPr>
        <w:t>平台新模式标杆样板，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助力企业创新发展和产业变革</w:t>
      </w:r>
      <w:r>
        <w:rPr>
          <w:rFonts w:hint="default" w:ascii="Times New Roman" w:hAnsi="Times New Roman" w:cs="Times New Roman"/>
          <w:szCs w:val="32"/>
          <w:highlight w:val="none"/>
        </w:rPr>
        <w:t>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（一）平台化设计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工业设计资源分散、工具软件落后和创新能力偏弱等问题，基于工业互联网平台汇聚各领域研发设计资源，通过数据积累和机器深度学习，促进工业知识经验沉淀、仿真设计工具创新，实现轻量化、并行、敏捷、交互和模块化设计，提高产品设计水平、协同研发效率和成本控制能力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（二）数字化管理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工业企业数据开发利用程度低、管理决策效率低和信息孤岛等问题，基于工业互联网平台贯通全业务链数据，通过智能传感器、物联网等技术，构建数字化供应链管理体系，引领企业打造数字化驾驶舱，实现组织架构优化、动态精准服务、辅助管理决策等管理模式创新，提升企业经营管理能力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（三）智能化制造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聚焦信息技术应用能力差、生产效率低和管控能力弱等问题，基于工业互联网平台促进生产制造全过程数字化改造，推动企业智能制造单元、智能产线、智能车间建设，加快制造执行系统的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化部署和优化升级，实现对生产制造过程的动态感知、实时分析与科学决策，提升生产效率和产品质量。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（四）网络化协同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产业链结构复杂、信息不对称、协作效率低等问题，基于工业互联网平台汇聚设计、制造、运维、供应链等各环节主体，推动关键数据共享、业务互联和制造资源优化配置，实现跨企业、跨地区、跨行业的研发协同、制造协同、供应协同，打造覆盖产品全生命周期的云化服务与协同服务，以数据价值网络推动产业链延伸与价值链升级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（五）个性化定制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产品同质化程度高、附加值较低和多元化需求无法有效满足等问题，基于工业互联网平台增强用户在产品全生命周期中的参与度，精准挖掘分析用户需求，并基于数据整合分析、模型库共享与供应商协同，实现模块化与个性化设计、柔性化生产、智能仓储和准时交付，实现高效率、零库存的生产模式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（六）服务化延伸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传统制造竞争力下降、工业企业产品供应模式单一和售后服务要求高等问题，基于工业互联网平台实现对产品的远程互联和数据分析，发展产品追溯、远程运维、分享制造、供应链金融、回收利用等创新型服务模式，推动制造向服务转变、从出售产品到“产品+服务”转变。</w:t>
      </w:r>
    </w:p>
    <w:p>
      <w:pPr>
        <w:pageBreakBefore w:val="0"/>
        <w:widowControl w:val="0"/>
        <w:kinsoku/>
        <w:overflowPunct/>
        <w:topLinePunct w:val="0"/>
        <w:bidi w:val="0"/>
        <w:adjustRightInd w:val="0"/>
        <w:spacing w:line="240" w:lineRule="auto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kern w:val="44"/>
          <w:sz w:val="32"/>
          <w:szCs w:val="48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48"/>
          <w:highlight w:val="none"/>
          <w:lang w:val="en-US" w:eastAsia="zh-CN" w:bidi="ar-SA"/>
        </w:rPr>
        <w:t>三、数字领航企业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面向优质制造业企业，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聚焦制造业数字化转型路径不清晰、应用落地难、效益不明显等问题，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大企业、中小企业等方面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，遴选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一批技术创新应用、业务模式优越、组织管理高效、价值效益突出、具有较强引领带动作用的数字领航企业典型案例。通过标杆引领带动更多制造企业开展数字化转型实践，输出优质解决方案和转型经验，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加快产业整体转型升级。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（一）数字领航企业（大企业）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聚焦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大企业数字化转型战略路径不清晰、技术应用不协调、组织架构不适应等问题，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引导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企业深化新一代信息技术融合应用，加速全环节、全要素、全链条数字化改造，并沉淀一批技术先进、效益良好的系统解决方案，带动产业链上下游协同转型。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（二）数字领航企业（中小企业）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聚焦中小企业数字化转型</w:t>
      </w:r>
      <w:r>
        <w:rPr>
          <w:rFonts w:hint="eastAsia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深度有待提高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highlight w:val="none"/>
          <w:lang w:val="en-US" w:eastAsia="zh-CN"/>
        </w:rPr>
        <w:t>等问题，引导中小企业聚焦重点业务场景关键需求和外部产业链配套需求，探索新一代信息技术应用场景，加快“小快轻准”数字化技术产品和解决方案应用普及，针对性提升成本、质量、效率、绿色、安全等方面效益，塑造差异化竞争力优势，实现高质量发展。</w:t>
      </w:r>
    </w:p>
    <w:p>
      <w:pPr>
        <w:widowControl w:val="0"/>
        <w:bidi w:val="0"/>
        <w:adjustRightInd w:val="0"/>
        <w:spacing w:line="600" w:lineRule="exact"/>
        <w:ind w:firstLine="640" w:firstLineChars="200"/>
        <w:jc w:val="left"/>
        <w:outlineLvl w:val="0"/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44"/>
          <w:sz w:val="32"/>
          <w:szCs w:val="48"/>
          <w:lang w:val="en-US" w:eastAsia="zh-CN" w:bidi="ar-SA"/>
        </w:rPr>
        <w:t>四、数字化供应链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Cs w:val="24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面向培育数字化生态的供应链上下游，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lang w:val="en-US" w:eastAsia="zh-CN"/>
        </w:rPr>
        <w:t>聚焦数字化供应链生态上下游业务协同水平不高、全链条数据贯通难度大、系统解决方案供给不足等问题，在数字化供应链关键环节优化、数字化供应链全链条互联集成、数字化供应链全生态协同创新等方面，遴选一批数字化供应链典型案例</w:t>
      </w:r>
      <w:r>
        <w:rPr>
          <w:rFonts w:hint="default" w:ascii="Times New Roman" w:hAnsi="Times New Roman" w:cs="Times New Roman"/>
          <w:b w:val="0"/>
          <w:bCs w:val="0"/>
          <w:sz w:val="32"/>
          <w:szCs w:val="20"/>
          <w:lang w:val="en-US" w:eastAsia="zh-CN"/>
        </w:rPr>
        <w:t>。通过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20"/>
          <w:lang w:val="en-US" w:eastAsia="zh-CN"/>
        </w:rPr>
        <w:t>提炼总结数字化供应链建设的优秀经验，为企业开展数字化供应链建设提供指引和参考。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（一）数字化供应链关键环节优化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聚焦数字化供应链关键环节，通过新一代信息技术融合应用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推动基于数据分析和模型应用的流程再造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和业务环节优化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，开展供应链计划与预测、多元化寻源与采购、柔性化生产管理、订单精准交付、数字化客户服务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等，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全面提升供应链数字化运营水平，推动数字化供应链效率提升。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（二）数字化供应链全链条互联集成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聚焦数字化供应链关键业务管控，通过新一代信息技术融合应用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推动供应链核心业务集成运作和数据端到端集成，开展供应链网络结构仿真建模设计、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基于组合式BOM的生产制造、基于订单仿真的物流调度、面向区域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"/>
        </w:rPr>
        <w:t>协同的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供应链管理服务</w:t>
      </w:r>
      <w:r>
        <w:rPr>
          <w:rFonts w:hint="eastAsia" w:ascii="Times New Roman" w:hAnsi="Times New Roman" w:cs="Times New Roman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供应链风险预测与防控、供应链综合绩效监测、供应链安全应急机制建设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实现供应链资源全流程全链条追溯，全面提升供应链柔性和韧性水平，打造上下游协同联动的数字化供应链网络。</w:t>
      </w:r>
    </w:p>
    <w:p>
      <w:pPr>
        <w:keepNext/>
        <w:keepLines/>
        <w:pageBreakBefore w:val="0"/>
        <w:widowControl w:val="0"/>
        <w:kinsoku/>
        <w:overflowPunct/>
        <w:topLinePunct w:val="0"/>
        <w:bidi w:val="0"/>
        <w:spacing w:line="240" w:lineRule="auto"/>
        <w:ind w:firstLine="640" w:firstLineChars="200"/>
        <w:jc w:val="both"/>
        <w:outlineLvl w:val="1"/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22"/>
          <w:lang w:val="en-US" w:eastAsia="zh-CN" w:bidi="ar-SA"/>
        </w:rPr>
        <w:t>（三）数字化供应链全生态协同创新</w:t>
      </w:r>
    </w:p>
    <w:p>
      <w:pPr>
        <w:pageBreakBefore w:val="0"/>
        <w:kinsoku/>
        <w:overflowPunct/>
        <w:topLinePunct w:val="0"/>
        <w:bidi w:val="0"/>
        <w:spacing w:line="240" w:lineRule="auto"/>
        <w:ind w:firstLine="640" w:firstLineChars="200"/>
      </w:pPr>
      <w:r>
        <w:rPr>
          <w:rFonts w:hint="default" w:ascii="Times New Roman" w:hAnsi="Times New Roman" w:eastAsia="仿宋_GB2312" w:cs="Times New Roman"/>
          <w:sz w:val="32"/>
          <w:szCs w:val="32"/>
        </w:rPr>
        <w:t>聚焦数字化供应链生态运营，通过新一代信息技术融合应用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推动供应链战略优化、内外部资源整合和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基于第三方平台的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服务模式创新，开展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供应链+集采集销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供应链+数字金融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供应链+AI大模型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  <w:lang w:bidi="ar"/>
        </w:rPr>
        <w:t>工业互联网平台+供应链</w:t>
      </w:r>
      <w:r>
        <w:rPr>
          <w:rFonts w:hint="default" w:ascii="Times New Roman" w:hAnsi="Times New Roman" w:cs="Times New Roman"/>
          <w:sz w:val="32"/>
          <w:szCs w:val="32"/>
          <w:lang w:eastAsia="zh-CN" w:bidi="ar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等新模式，以数据驱动供应链业务重构和机制创新，构建开放共享、价值共创的数字化供应链生态系统。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Times New Roman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E8BA36"/>
    <w:multiLevelType w:val="multilevel"/>
    <w:tmpl w:val="C1E8BA36"/>
    <w:lvl w:ilvl="0" w:tentative="0">
      <w:start w:val="1"/>
      <w:numFmt w:val="decimal"/>
      <w:pStyle w:val="3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MzUyZjZmNTYzNGM3NWE0MjZmOGEyZmIyYWExMWMifQ=="/>
  </w:docVars>
  <w:rsids>
    <w:rsidRoot w:val="3DCC1EF4"/>
    <w:rsid w:val="0A206642"/>
    <w:rsid w:val="0B933D5F"/>
    <w:rsid w:val="1AB1523A"/>
    <w:rsid w:val="23EE4824"/>
    <w:rsid w:val="2A0D3456"/>
    <w:rsid w:val="32CEB5F7"/>
    <w:rsid w:val="34E81472"/>
    <w:rsid w:val="3DCC1EF4"/>
    <w:rsid w:val="52083A82"/>
    <w:rsid w:val="52ED0192"/>
    <w:rsid w:val="5E265C22"/>
    <w:rsid w:val="664D7EC8"/>
    <w:rsid w:val="723C766C"/>
    <w:rsid w:val="75F3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80" w:lineRule="auto"/>
      <w:ind w:left="432" w:hanging="432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480" w:lineRule="auto"/>
      <w:ind w:left="575" w:hanging="575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Lines="0" w:beforeAutospacing="0" w:afterLines="0" w:afterAutospacing="0" w:line="360" w:lineRule="auto"/>
      <w:ind w:left="720" w:hanging="720"/>
      <w:outlineLvl w:val="2"/>
    </w:pPr>
    <w:rPr>
      <w:rFonts w:ascii="Calibri" w:hAnsi="Calibri" w:cs="Times New Roman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/>
      <w:outlineLvl w:val="3"/>
    </w:pPr>
    <w:rPr>
      <w:rFonts w:ascii="Arial" w:hAnsi="Arial" w:cs="Times New Roman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Body Text"/>
    <w:basedOn w:val="1"/>
    <w:qFormat/>
    <w:uiPriority w:val="0"/>
    <w:pPr>
      <w:spacing w:after="120" w:afterLines="0" w:afterAutospacing="0"/>
    </w:p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2024-10-28T14:41:00Z</dcterms:created>
  <dc:creator>陈</dc:creator>
  <cp:lastModifiedBy>栗向龙</cp:lastModifiedBy>
  <dcterms:modified xsi:type="dcterms:W3CDTF">2024-10-29T17:57:36Z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2846B1C75CDD4BCD865B54DB2E2F2439_11</vt:lpwstr>
  </property>
</Properties>
</file>