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0CEC6">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附件1：</w:t>
      </w:r>
    </w:p>
    <w:p w14:paraId="521474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宋体" w:eastAsia="方正小标宋简体" w:cs="Times New Roman"/>
          <w:sz w:val="44"/>
          <w:szCs w:val="44"/>
          <w:lang w:val="en-US" w:eastAsia="zh-CN"/>
        </w:rPr>
      </w:pPr>
    </w:p>
    <w:p w14:paraId="70FCF4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政策宣传短视频制作项目</w:t>
      </w:r>
    </w:p>
    <w:p w14:paraId="2E78CB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sz w:val="32"/>
          <w:szCs w:val="32"/>
          <w:lang w:val="en-US" w:eastAsia="zh-CN"/>
        </w:rPr>
      </w:pPr>
      <w:r>
        <w:rPr>
          <w:rFonts w:hint="eastAsia" w:ascii="方正小标宋简体" w:hAnsi="Times New Roman" w:eastAsia="方正小标宋简体" w:cs="Times New Roman"/>
          <w:sz w:val="44"/>
          <w:szCs w:val="44"/>
          <w:lang w:val="en-US" w:eastAsia="zh-CN"/>
        </w:rPr>
        <w:t>服务机构评分标准表（子项目一</w:t>
      </w:r>
      <w:r>
        <w:rPr>
          <w:rFonts w:hint="eastAsia" w:ascii="黑体" w:hAnsi="黑体" w:eastAsia="黑体" w:cs="Times New Roman"/>
          <w:sz w:val="32"/>
          <w:szCs w:val="32"/>
          <w:lang w:val="en-US" w:eastAsia="zh-CN"/>
        </w:rPr>
        <w:t>）</w:t>
      </w:r>
    </w:p>
    <w:p w14:paraId="2332C0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Times New Roman"/>
          <w:sz w:val="32"/>
          <w:szCs w:val="32"/>
          <w:lang w:val="en-US" w:eastAsia="zh-CN"/>
        </w:rPr>
      </w:pPr>
    </w:p>
    <w:tbl>
      <w:tblPr>
        <w:tblStyle w:val="6"/>
        <w:tblW w:w="10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79"/>
        <w:gridCol w:w="1114"/>
        <w:gridCol w:w="7047"/>
        <w:gridCol w:w="679"/>
      </w:tblGrid>
      <w:tr w14:paraId="030A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5" w:type="dxa"/>
            <w:vAlign w:val="center"/>
          </w:tcPr>
          <w:p w14:paraId="4933D1DC">
            <w:pPr>
              <w:spacing w:line="340" w:lineRule="exact"/>
              <w:jc w:val="center"/>
              <w:rPr>
                <w:rFonts w:hint="eastAsia" w:ascii="仿宋" w:hAnsi="仿宋" w:eastAsia="仿宋" w:cs="仿宋"/>
                <w:b/>
                <w:bCs/>
                <w:kern w:val="0"/>
                <w:sz w:val="21"/>
                <w:szCs w:val="21"/>
              </w:rPr>
            </w:pPr>
            <w:bookmarkStart w:id="0" w:name="_Hlk106449537"/>
            <w:r>
              <w:rPr>
                <w:rFonts w:hint="eastAsia" w:ascii="仿宋_GB2312" w:hAnsi="仿宋_GB2312" w:eastAsia="仿宋_GB2312" w:cs="仿宋_GB2312"/>
                <w:b/>
                <w:bCs/>
                <w:kern w:val="0"/>
                <w:sz w:val="21"/>
                <w:szCs w:val="21"/>
                <w:lang w:val="en-US" w:eastAsia="zh-CN"/>
              </w:rPr>
              <w:t>序号</w:t>
            </w:r>
          </w:p>
        </w:tc>
        <w:tc>
          <w:tcPr>
            <w:tcW w:w="9040" w:type="dxa"/>
            <w:gridSpan w:val="3"/>
            <w:vAlign w:val="center"/>
          </w:tcPr>
          <w:p w14:paraId="5F688E25">
            <w:pPr>
              <w:spacing w:line="340" w:lineRule="exact"/>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评分标准</w:t>
            </w:r>
          </w:p>
        </w:tc>
        <w:tc>
          <w:tcPr>
            <w:tcW w:w="679" w:type="dxa"/>
            <w:vAlign w:val="center"/>
          </w:tcPr>
          <w:p w14:paraId="331FAC9D">
            <w:pPr>
              <w:spacing w:line="340" w:lineRule="exact"/>
              <w:jc w:val="center"/>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评分</w:t>
            </w:r>
          </w:p>
        </w:tc>
      </w:tr>
      <w:tr w14:paraId="5ACF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Merge w:val="restart"/>
            <w:vAlign w:val="center"/>
          </w:tcPr>
          <w:p w14:paraId="4BE2548B">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79" w:type="dxa"/>
            <w:vMerge w:val="restart"/>
            <w:vAlign w:val="center"/>
          </w:tcPr>
          <w:p w14:paraId="2581CD14">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技术分（满分</w:t>
            </w:r>
            <w:r>
              <w:rPr>
                <w:rFonts w:hint="eastAsia" w:ascii="仿宋_GB2312" w:hAnsi="仿宋_GB2312" w:eastAsia="仿宋_GB2312" w:cs="仿宋_GB2312"/>
                <w:kern w:val="0"/>
                <w:sz w:val="21"/>
                <w:szCs w:val="21"/>
                <w:lang w:val="en-US" w:eastAsia="zh-CN"/>
              </w:rPr>
              <w:t>65</w:t>
            </w:r>
            <w:r>
              <w:rPr>
                <w:rFonts w:hint="eastAsia" w:ascii="仿宋_GB2312" w:hAnsi="仿宋_GB2312" w:eastAsia="仿宋_GB2312" w:cs="仿宋_GB2312"/>
                <w:kern w:val="0"/>
                <w:sz w:val="21"/>
                <w:szCs w:val="21"/>
              </w:rPr>
              <w:t>分）</w:t>
            </w:r>
          </w:p>
        </w:tc>
        <w:tc>
          <w:tcPr>
            <w:tcW w:w="1114" w:type="dxa"/>
            <w:vAlign w:val="center"/>
          </w:tcPr>
          <w:p w14:paraId="2A8C7083">
            <w:pPr>
              <w:numPr>
                <w:ilvl w:val="0"/>
                <w:numId w:val="1"/>
              </w:num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项目</w:t>
            </w:r>
            <w:r>
              <w:rPr>
                <w:rFonts w:hint="eastAsia" w:ascii="仿宋_GB2312" w:hAnsi="仿宋_GB2312" w:eastAsia="仿宋_GB2312" w:cs="仿宋_GB2312"/>
                <w:kern w:val="0"/>
                <w:sz w:val="21"/>
                <w:szCs w:val="21"/>
              </w:rPr>
              <w:t>实施方案（满分2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w:t>
            </w:r>
          </w:p>
        </w:tc>
        <w:tc>
          <w:tcPr>
            <w:tcW w:w="7047" w:type="dxa"/>
            <w:vAlign w:val="center"/>
          </w:tcPr>
          <w:p w14:paraId="28D976B7">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评委根据供应商方案的完整性、针对性、可操作性及特色进行评审，重点涵盖：①AI数字人</w:t>
            </w:r>
            <w:r>
              <w:rPr>
                <w:rFonts w:hint="eastAsia" w:ascii="仿宋_GB2312" w:hAnsi="仿宋_GB2312" w:eastAsia="仿宋_GB2312" w:cs="仿宋_GB2312"/>
                <w:kern w:val="0"/>
                <w:sz w:val="21"/>
                <w:szCs w:val="21"/>
                <w:lang w:val="en-US" w:eastAsia="zh-CN"/>
              </w:rPr>
              <w:t>形象</w:t>
            </w:r>
            <w:r>
              <w:rPr>
                <w:rFonts w:hint="eastAsia" w:ascii="仿宋_GB2312" w:hAnsi="仿宋_GB2312" w:eastAsia="仿宋_GB2312" w:cs="仿宋_GB2312"/>
                <w:kern w:val="0"/>
                <w:sz w:val="21"/>
                <w:szCs w:val="21"/>
              </w:rPr>
              <w:t>设计思路（是否贴合</w:t>
            </w:r>
            <w:r>
              <w:rPr>
                <w:rFonts w:hint="eastAsia" w:ascii="仿宋_GB2312" w:hAnsi="仿宋_GB2312" w:eastAsia="仿宋_GB2312" w:cs="仿宋_GB2312"/>
                <w:kern w:val="0"/>
                <w:sz w:val="21"/>
                <w:szCs w:val="21"/>
                <w:lang w:val="en-US" w:eastAsia="zh-CN"/>
              </w:rPr>
              <w:t>政策宣传</w:t>
            </w:r>
            <w:r>
              <w:rPr>
                <w:rFonts w:hint="eastAsia" w:ascii="仿宋_GB2312" w:hAnsi="仿宋_GB2312" w:eastAsia="仿宋_GB2312" w:cs="仿宋_GB2312"/>
                <w:kern w:val="0"/>
                <w:sz w:val="21"/>
                <w:szCs w:val="21"/>
              </w:rPr>
              <w:t>栏目品牌定位，含形象、声音、面容捕捉的适配性）；② 视频内容规划（是否覆盖政策快讯、条款精读、常见问题答疑，</w:t>
            </w:r>
            <w:r>
              <w:rPr>
                <w:rFonts w:hint="eastAsia" w:ascii="仿宋_GB2312" w:hAnsi="仿宋_GB2312" w:eastAsia="仿宋_GB2312" w:cs="仿宋_GB2312"/>
                <w:kern w:val="0"/>
                <w:sz w:val="21"/>
                <w:szCs w:val="21"/>
                <w:lang w:val="en-US" w:eastAsia="zh-CN"/>
              </w:rPr>
              <w:t>视频</w:t>
            </w:r>
            <w:r>
              <w:rPr>
                <w:rFonts w:hint="eastAsia" w:ascii="仿宋_GB2312" w:hAnsi="仿宋_GB2312" w:eastAsia="仿宋_GB2312" w:cs="仿宋_GB2312"/>
                <w:kern w:val="0"/>
                <w:sz w:val="21"/>
                <w:szCs w:val="21"/>
              </w:rPr>
              <w:t>排期合理性）；③ 精品课程录制计划（场地适配、录制流程、后期剪辑标准）；④ 传播推广方案（如何达成全年全网1</w:t>
            </w:r>
            <w:r>
              <w:rPr>
                <w:rFonts w:hint="eastAsia"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rPr>
              <w:t>万浏览量、</w:t>
            </w:r>
            <w:r>
              <w:rPr>
                <w:rFonts w:hint="eastAsia" w:ascii="仿宋_GB2312" w:hAnsi="仿宋_GB2312" w:eastAsia="仿宋_GB2312" w:cs="仿宋_GB2312"/>
                <w:kern w:val="0"/>
                <w:sz w:val="21"/>
                <w:szCs w:val="21"/>
                <w:lang w:val="en-US" w:eastAsia="zh-CN"/>
              </w:rPr>
              <w:t>新增</w:t>
            </w:r>
            <w:r>
              <w:rPr>
                <w:rFonts w:hint="eastAsia" w:ascii="仿宋_GB2312" w:hAnsi="仿宋_GB2312" w:eastAsia="仿宋_GB2312" w:cs="仿宋_GB2312"/>
                <w:kern w:val="0"/>
                <w:sz w:val="21"/>
                <w:szCs w:val="21"/>
              </w:rPr>
              <w:t>4000粉丝、单期平均2000 播放量、核心政策解读视频破万的目标）。</w:t>
            </w:r>
          </w:p>
          <w:p w14:paraId="7A0ADC75">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分）：方案残缺，无核心内容规划，传播目标无落地措施，无特色；</w:t>
            </w:r>
          </w:p>
          <w:p w14:paraId="636EFE24">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二档（1</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分）：方案较完整，内容规划合理，传播措施基本可行，有一定特色；</w:t>
            </w:r>
          </w:p>
          <w:p w14:paraId="013CF24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分）：方案系统清晰，内容规划贴合企业需求，传播方案具体可落地，预算明细规范，有明显亮点（如创新传播渠道、内容差异化设计）。</w:t>
            </w:r>
          </w:p>
        </w:tc>
        <w:tc>
          <w:tcPr>
            <w:tcW w:w="679" w:type="dxa"/>
          </w:tcPr>
          <w:p w14:paraId="2EFC2374">
            <w:pPr>
              <w:spacing w:line="340" w:lineRule="exact"/>
              <w:jc w:val="right"/>
              <w:rPr>
                <w:rFonts w:hint="eastAsia" w:ascii="仿宋" w:hAnsi="仿宋" w:eastAsia="仿宋" w:cs="仿宋"/>
                <w:kern w:val="0"/>
                <w:sz w:val="21"/>
                <w:szCs w:val="21"/>
              </w:rPr>
            </w:pPr>
          </w:p>
        </w:tc>
      </w:tr>
      <w:tr w14:paraId="17E7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515" w:type="dxa"/>
            <w:vMerge w:val="continue"/>
            <w:vAlign w:val="center"/>
          </w:tcPr>
          <w:p w14:paraId="1BCBCD6C">
            <w:pPr>
              <w:spacing w:line="340" w:lineRule="exact"/>
              <w:jc w:val="center"/>
              <w:rPr>
                <w:rFonts w:hint="eastAsia" w:ascii="仿宋_GB2312" w:hAnsi="仿宋_GB2312" w:eastAsia="仿宋_GB2312" w:cs="仿宋_GB2312"/>
                <w:kern w:val="0"/>
                <w:sz w:val="21"/>
                <w:szCs w:val="21"/>
              </w:rPr>
            </w:pPr>
          </w:p>
        </w:tc>
        <w:tc>
          <w:tcPr>
            <w:tcW w:w="879" w:type="dxa"/>
            <w:vMerge w:val="continue"/>
            <w:vAlign w:val="center"/>
          </w:tcPr>
          <w:p w14:paraId="3FE48844">
            <w:pPr>
              <w:spacing w:line="340" w:lineRule="exact"/>
              <w:jc w:val="left"/>
              <w:rPr>
                <w:rFonts w:hint="eastAsia" w:ascii="仿宋_GB2312" w:hAnsi="仿宋_GB2312" w:eastAsia="仿宋_GB2312" w:cs="仿宋_GB2312"/>
                <w:kern w:val="0"/>
                <w:sz w:val="21"/>
                <w:szCs w:val="21"/>
              </w:rPr>
            </w:pPr>
          </w:p>
        </w:tc>
        <w:tc>
          <w:tcPr>
            <w:tcW w:w="1114" w:type="dxa"/>
            <w:vAlign w:val="center"/>
          </w:tcPr>
          <w:p w14:paraId="4B2BB860">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（2）</w:t>
            </w:r>
            <w:r>
              <w:rPr>
                <w:rFonts w:hint="eastAsia" w:ascii="仿宋_GB2312" w:hAnsi="仿宋_GB2312" w:eastAsia="仿宋_GB2312" w:cs="仿宋_GB2312"/>
                <w:kern w:val="0"/>
                <w:sz w:val="21"/>
                <w:szCs w:val="21"/>
                <w:lang w:val="en-US" w:eastAsia="zh-CN"/>
              </w:rPr>
              <w:t>视频质量</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满分15分</w:t>
            </w:r>
            <w:r>
              <w:rPr>
                <w:rFonts w:hint="eastAsia" w:ascii="仿宋_GB2312" w:hAnsi="仿宋_GB2312" w:eastAsia="仿宋_GB2312" w:cs="仿宋_GB2312"/>
                <w:kern w:val="0"/>
                <w:sz w:val="21"/>
                <w:szCs w:val="21"/>
                <w:lang w:eastAsia="zh-CN"/>
              </w:rPr>
              <w:t>）</w:t>
            </w:r>
          </w:p>
        </w:tc>
        <w:tc>
          <w:tcPr>
            <w:tcW w:w="7047" w:type="dxa"/>
            <w:vAlign w:val="center"/>
          </w:tcPr>
          <w:p w14:paraId="26CBA793">
            <w:pPr>
              <w:spacing w:line="340" w:lineRule="exac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评委根据供应商技术实力及成果进行评审，</w:t>
            </w:r>
            <w:r>
              <w:rPr>
                <w:rFonts w:hint="eastAsia" w:ascii="仿宋_GB2312" w:hAnsi="仿宋_GB2312" w:eastAsia="仿宋_GB2312" w:cs="仿宋_GB2312"/>
                <w:kern w:val="0"/>
                <w:sz w:val="21"/>
                <w:szCs w:val="21"/>
                <w:lang w:val="en-US" w:eastAsia="zh-CN"/>
              </w:rPr>
              <w:t>①</w:t>
            </w:r>
            <w:r>
              <w:rPr>
                <w:rFonts w:hint="eastAsia" w:ascii="仿宋_GB2312" w:hAnsi="仿宋_GB2312" w:eastAsia="仿宋_GB2312" w:cs="仿宋_GB2312"/>
                <w:kern w:val="0"/>
                <w:sz w:val="21"/>
                <w:szCs w:val="21"/>
              </w:rPr>
              <w:t>重点考核数字人可塑性、动作口型自然度、声音写实化水平。需提供过往AI数字人项目案例成果作为证明材料。</w:t>
            </w:r>
            <w:r>
              <w:rPr>
                <w:rFonts w:hint="eastAsia" w:ascii="仿宋_GB2312" w:hAnsi="仿宋_GB2312" w:eastAsia="仿宋_GB2312" w:cs="仿宋_GB2312"/>
                <w:kern w:val="0"/>
                <w:sz w:val="21"/>
                <w:szCs w:val="21"/>
                <w:lang w:val="en-US" w:eastAsia="zh-CN"/>
              </w:rPr>
              <w:t>②</w:t>
            </w:r>
            <w:r>
              <w:rPr>
                <w:rFonts w:hint="eastAsia" w:ascii="仿宋_GB2312" w:hAnsi="仿宋_GB2312" w:eastAsia="仿宋_GB2312" w:cs="仿宋_GB2312"/>
                <w:kern w:val="0"/>
                <w:sz w:val="21"/>
                <w:szCs w:val="21"/>
              </w:rPr>
              <w:t>精品课程录制：画质清晰度、声音纯净度、字幕规范性（无错别字、同步性）</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画面稳定性、镜头切换合理性、后期剪辑流畅度</w:t>
            </w:r>
            <w:r>
              <w:rPr>
                <w:rFonts w:hint="eastAsia" w:ascii="仿宋_GB2312" w:hAnsi="仿宋_GB2312" w:eastAsia="仿宋_GB2312" w:cs="仿宋_GB2312"/>
                <w:kern w:val="0"/>
                <w:sz w:val="21"/>
                <w:szCs w:val="21"/>
                <w:lang w:eastAsia="zh-CN"/>
              </w:rPr>
              <w:t>。</w:t>
            </w:r>
          </w:p>
          <w:p w14:paraId="26CF6815">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一档（5 分）：数字人形象粗糙，动作口型卡顿，声音机械，无成熟技术支撑；作品存在明显瑕疵（如画质模糊、声音杂音、字幕错误），课程录制无专业规范</w:t>
            </w:r>
            <w:r>
              <w:rPr>
                <w:rFonts w:hint="eastAsia" w:ascii="仿宋_GB2312" w:hAnsi="仿宋_GB2312" w:eastAsia="仿宋_GB2312" w:cs="仿宋_GB2312"/>
                <w:kern w:val="0"/>
                <w:sz w:val="21"/>
                <w:szCs w:val="21"/>
                <w:lang w:eastAsia="zh-CN"/>
              </w:rPr>
              <w:t>；</w:t>
            </w:r>
          </w:p>
          <w:p w14:paraId="217A7B9F">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二档（10 分）：数字人形象贴合需求，动作口型基本自然，声音较写实，具备基础定制与驱动能力；作品基本符合要求，画质、声音、字幕达标，课程录制流程规范</w:t>
            </w:r>
            <w:r>
              <w:rPr>
                <w:rFonts w:hint="eastAsia" w:ascii="仿宋_GB2312" w:hAnsi="仿宋_GB2312" w:eastAsia="仿宋_GB2312" w:cs="仿宋_GB2312"/>
                <w:kern w:val="0"/>
                <w:sz w:val="21"/>
                <w:szCs w:val="21"/>
                <w:lang w:eastAsia="zh-CN"/>
              </w:rPr>
              <w:t>；</w:t>
            </w:r>
          </w:p>
          <w:p w14:paraId="068C489D">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三档（15 分）：数字人形象精致，动作口型流畅自然，声音高度写实，可塑性强，技术成熟稳定。作品专业度高，画质高清、声音清晰、字幕精准，课程录制效果优良</w:t>
            </w:r>
            <w:r>
              <w:rPr>
                <w:rFonts w:hint="eastAsia" w:ascii="仿宋_GB2312" w:hAnsi="仿宋_GB2312" w:eastAsia="仿宋_GB2312" w:cs="仿宋_GB2312"/>
                <w:kern w:val="0"/>
                <w:sz w:val="21"/>
                <w:szCs w:val="21"/>
                <w:lang w:eastAsia="zh-CN"/>
              </w:rPr>
              <w:t>。</w:t>
            </w:r>
          </w:p>
        </w:tc>
        <w:tc>
          <w:tcPr>
            <w:tcW w:w="679" w:type="dxa"/>
          </w:tcPr>
          <w:p w14:paraId="340501E8">
            <w:pPr>
              <w:spacing w:line="340" w:lineRule="exact"/>
              <w:jc w:val="right"/>
              <w:rPr>
                <w:rFonts w:hint="eastAsia" w:ascii="仿宋" w:hAnsi="仿宋" w:eastAsia="仿宋" w:cs="仿宋"/>
                <w:kern w:val="0"/>
                <w:sz w:val="21"/>
                <w:szCs w:val="21"/>
              </w:rPr>
            </w:pPr>
          </w:p>
        </w:tc>
      </w:tr>
      <w:tr w14:paraId="23C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515" w:type="dxa"/>
            <w:vMerge w:val="continue"/>
            <w:vAlign w:val="center"/>
          </w:tcPr>
          <w:p w14:paraId="35AC407A">
            <w:pPr>
              <w:spacing w:line="340" w:lineRule="exact"/>
              <w:jc w:val="center"/>
              <w:rPr>
                <w:rFonts w:hint="eastAsia" w:ascii="仿宋_GB2312" w:hAnsi="仿宋_GB2312" w:eastAsia="仿宋_GB2312" w:cs="仿宋_GB2312"/>
                <w:kern w:val="0"/>
                <w:sz w:val="21"/>
                <w:szCs w:val="21"/>
              </w:rPr>
            </w:pPr>
          </w:p>
        </w:tc>
        <w:tc>
          <w:tcPr>
            <w:tcW w:w="879" w:type="dxa"/>
            <w:vMerge w:val="continue"/>
            <w:vAlign w:val="center"/>
          </w:tcPr>
          <w:p w14:paraId="25D55D8B">
            <w:pPr>
              <w:spacing w:line="340" w:lineRule="exact"/>
              <w:jc w:val="center"/>
              <w:rPr>
                <w:rFonts w:hint="eastAsia" w:ascii="仿宋_GB2312" w:hAnsi="仿宋_GB2312" w:eastAsia="仿宋_GB2312" w:cs="仿宋_GB2312"/>
                <w:kern w:val="0"/>
                <w:sz w:val="21"/>
                <w:szCs w:val="21"/>
              </w:rPr>
            </w:pPr>
          </w:p>
        </w:tc>
        <w:tc>
          <w:tcPr>
            <w:tcW w:w="1114" w:type="dxa"/>
            <w:vAlign w:val="center"/>
          </w:tcPr>
          <w:p w14:paraId="050F268B">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）团队服务及专人对接承诺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满分12分</w:t>
            </w:r>
            <w:r>
              <w:rPr>
                <w:rFonts w:hint="eastAsia" w:ascii="仿宋_GB2312" w:hAnsi="仿宋_GB2312" w:eastAsia="仿宋_GB2312" w:cs="仿宋_GB2312"/>
                <w:kern w:val="0"/>
                <w:sz w:val="21"/>
                <w:szCs w:val="21"/>
                <w:lang w:eastAsia="zh-CN"/>
              </w:rPr>
              <w:t>）</w:t>
            </w:r>
          </w:p>
        </w:tc>
        <w:tc>
          <w:tcPr>
            <w:tcW w:w="7047" w:type="dxa"/>
            <w:vAlign w:val="center"/>
          </w:tcPr>
          <w:p w14:paraId="61B90AC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5B252BB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分）负责本项目的服务团队组织架构不够健全，工作流程不清晰，无专人对接，且工作人员大于等于</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人；</w:t>
            </w:r>
          </w:p>
          <w:p w14:paraId="12C67292">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分）负责本项目的服务团队组织架构较健全，工作流程较清晰，有专人对接，且工作人员大于等于</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人；</w:t>
            </w:r>
          </w:p>
          <w:p w14:paraId="0F47B6B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分）负责本项目的服务团队组织架构较健全，工作流程较清晰，有专人对接，且工作人员大于等于</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人；</w:t>
            </w:r>
          </w:p>
          <w:p w14:paraId="42B2F5E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highlight w:val="none"/>
              </w:rPr>
              <w:t>以上要求供应商应提供投标截止日半年内任意连续三个月的社保缴纳证明。</w:t>
            </w:r>
          </w:p>
        </w:tc>
        <w:tc>
          <w:tcPr>
            <w:tcW w:w="679" w:type="dxa"/>
          </w:tcPr>
          <w:p w14:paraId="18EE559F">
            <w:pPr>
              <w:spacing w:line="340" w:lineRule="exact"/>
              <w:jc w:val="right"/>
              <w:rPr>
                <w:rFonts w:hint="eastAsia" w:ascii="仿宋" w:hAnsi="仿宋" w:eastAsia="仿宋" w:cs="仿宋"/>
                <w:kern w:val="0"/>
                <w:sz w:val="21"/>
                <w:szCs w:val="21"/>
              </w:rPr>
            </w:pPr>
          </w:p>
        </w:tc>
      </w:tr>
      <w:tr w14:paraId="45A1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15" w:type="dxa"/>
            <w:vMerge w:val="continue"/>
            <w:vAlign w:val="center"/>
          </w:tcPr>
          <w:p w14:paraId="428371E0">
            <w:pPr>
              <w:spacing w:line="340" w:lineRule="exact"/>
              <w:jc w:val="center"/>
              <w:rPr>
                <w:rFonts w:hint="eastAsia" w:ascii="仿宋_GB2312" w:hAnsi="仿宋_GB2312" w:eastAsia="仿宋_GB2312" w:cs="仿宋_GB2312"/>
                <w:kern w:val="0"/>
                <w:sz w:val="21"/>
                <w:szCs w:val="21"/>
              </w:rPr>
            </w:pPr>
          </w:p>
        </w:tc>
        <w:tc>
          <w:tcPr>
            <w:tcW w:w="879" w:type="dxa"/>
            <w:vMerge w:val="continue"/>
            <w:vAlign w:val="center"/>
          </w:tcPr>
          <w:p w14:paraId="42746958">
            <w:pPr>
              <w:spacing w:line="340" w:lineRule="exact"/>
              <w:rPr>
                <w:rFonts w:hint="eastAsia" w:ascii="仿宋_GB2312" w:hAnsi="仿宋_GB2312" w:eastAsia="仿宋_GB2312" w:cs="仿宋_GB2312"/>
                <w:kern w:val="0"/>
                <w:sz w:val="21"/>
                <w:szCs w:val="21"/>
              </w:rPr>
            </w:pPr>
          </w:p>
        </w:tc>
        <w:tc>
          <w:tcPr>
            <w:tcW w:w="1114" w:type="dxa"/>
            <w:shd w:val="clear" w:color="auto" w:fill="auto"/>
            <w:vAlign w:val="center"/>
          </w:tcPr>
          <w:p w14:paraId="3D282869">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）制作周期</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满分10分</w:t>
            </w:r>
            <w:r>
              <w:rPr>
                <w:rFonts w:hint="eastAsia" w:ascii="仿宋_GB2312" w:hAnsi="仿宋_GB2312" w:eastAsia="仿宋_GB2312" w:cs="仿宋_GB2312"/>
                <w:kern w:val="0"/>
                <w:sz w:val="21"/>
                <w:szCs w:val="21"/>
                <w:lang w:eastAsia="zh-CN"/>
              </w:rPr>
              <w:t>）</w:t>
            </w:r>
          </w:p>
        </w:tc>
        <w:tc>
          <w:tcPr>
            <w:tcW w:w="7047" w:type="dxa"/>
            <w:shd w:val="clear" w:color="auto" w:fill="auto"/>
            <w:vAlign w:val="center"/>
          </w:tcPr>
          <w:p w14:paraId="2F98EAFA">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评委根据制作流程说明及周期承诺进行评审，周期需包含内容对接、AI数字人制作、后期剪辑、修改确认全流程。</w:t>
            </w:r>
          </w:p>
          <w:p w14:paraId="099A650D">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分）：每期视频制作周期≤</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 xml:space="preserve"> 天，且基本能满足服务需求；</w:t>
            </w:r>
          </w:p>
          <w:p w14:paraId="200D53AF">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分）：每期视频制作周期≤</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 xml:space="preserve"> 天，能保障年度产出效率；</w:t>
            </w:r>
          </w:p>
          <w:p w14:paraId="09EF3578">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分）：每期视频制作周期≤</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 xml:space="preserve"> 天，高效响应需求，可灵活调整排期。</w:t>
            </w:r>
          </w:p>
        </w:tc>
        <w:tc>
          <w:tcPr>
            <w:tcW w:w="679" w:type="dxa"/>
          </w:tcPr>
          <w:p w14:paraId="3CE1CBE2">
            <w:pPr>
              <w:spacing w:line="340" w:lineRule="exact"/>
              <w:jc w:val="right"/>
              <w:rPr>
                <w:rFonts w:hint="eastAsia" w:ascii="仿宋" w:hAnsi="仿宋" w:eastAsia="仿宋" w:cs="仿宋"/>
                <w:kern w:val="0"/>
                <w:sz w:val="21"/>
                <w:szCs w:val="21"/>
              </w:rPr>
            </w:pPr>
          </w:p>
        </w:tc>
      </w:tr>
      <w:tr w14:paraId="4285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515" w:type="dxa"/>
            <w:vMerge w:val="continue"/>
            <w:vAlign w:val="center"/>
          </w:tcPr>
          <w:p w14:paraId="417C5BD6">
            <w:pPr>
              <w:spacing w:line="340" w:lineRule="exact"/>
              <w:jc w:val="center"/>
              <w:rPr>
                <w:rFonts w:hint="eastAsia" w:ascii="仿宋_GB2312" w:hAnsi="仿宋_GB2312" w:eastAsia="仿宋_GB2312" w:cs="仿宋_GB2312"/>
                <w:kern w:val="0"/>
                <w:sz w:val="21"/>
                <w:szCs w:val="21"/>
              </w:rPr>
            </w:pPr>
          </w:p>
        </w:tc>
        <w:tc>
          <w:tcPr>
            <w:tcW w:w="879" w:type="dxa"/>
            <w:vMerge w:val="continue"/>
            <w:vAlign w:val="center"/>
          </w:tcPr>
          <w:p w14:paraId="33998DD7">
            <w:pPr>
              <w:spacing w:line="340" w:lineRule="exact"/>
              <w:rPr>
                <w:rFonts w:hint="eastAsia" w:ascii="仿宋_GB2312" w:hAnsi="仿宋_GB2312" w:eastAsia="仿宋_GB2312" w:cs="仿宋_GB2312"/>
                <w:kern w:val="0"/>
                <w:sz w:val="21"/>
                <w:szCs w:val="21"/>
              </w:rPr>
            </w:pPr>
          </w:p>
        </w:tc>
        <w:tc>
          <w:tcPr>
            <w:tcW w:w="1114" w:type="dxa"/>
            <w:vAlign w:val="center"/>
          </w:tcPr>
          <w:p w14:paraId="513770F4">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）服务需求响应时间</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满分5分</w:t>
            </w:r>
            <w:r>
              <w:rPr>
                <w:rFonts w:hint="eastAsia" w:ascii="仿宋_GB2312" w:hAnsi="仿宋_GB2312" w:eastAsia="仿宋_GB2312" w:cs="仿宋_GB2312"/>
                <w:kern w:val="0"/>
                <w:sz w:val="21"/>
                <w:szCs w:val="21"/>
                <w:lang w:eastAsia="zh-CN"/>
              </w:rPr>
              <w:t>）</w:t>
            </w:r>
          </w:p>
        </w:tc>
        <w:tc>
          <w:tcPr>
            <w:tcW w:w="7047" w:type="dxa"/>
            <w:vAlign w:val="center"/>
          </w:tcPr>
          <w:p w14:paraId="3CF09DE5">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6B59FCD5">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1</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需求，超过</w:t>
            </w:r>
            <w:r>
              <w:rPr>
                <w:rFonts w:hint="eastAsia" w:ascii="仿宋_GB2312" w:hAnsi="仿宋_GB2312" w:eastAsia="仿宋_GB2312" w:cs="仿宋_GB2312"/>
                <w:kern w:val="0"/>
                <w:sz w:val="21"/>
                <w:szCs w:val="21"/>
                <w:lang w:val="en-US" w:eastAsia="zh-CN"/>
              </w:rPr>
              <w:t>1天</w:t>
            </w:r>
            <w:r>
              <w:rPr>
                <w:rFonts w:hint="eastAsia" w:ascii="仿宋_GB2312" w:hAnsi="仿宋_GB2312" w:eastAsia="仿宋_GB2312" w:cs="仿宋_GB2312"/>
                <w:kern w:val="0"/>
                <w:sz w:val="21"/>
                <w:szCs w:val="21"/>
              </w:rPr>
              <w:t>响应服务，并对相关问题提出有效解决方案和意见</w:t>
            </w:r>
            <w:r>
              <w:rPr>
                <w:rFonts w:hint="eastAsia" w:ascii="仿宋_GB2312" w:hAnsi="仿宋_GB2312" w:eastAsia="仿宋_GB2312" w:cs="仿宋_GB2312"/>
                <w:kern w:val="0"/>
                <w:sz w:val="21"/>
                <w:szCs w:val="21"/>
                <w:lang w:eastAsia="zh-CN"/>
              </w:rPr>
              <w:t>；</w:t>
            </w:r>
          </w:p>
          <w:p w14:paraId="482BB31F">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小时内响应服务，并对相关问题提出有效解决方案和意见</w:t>
            </w:r>
            <w:r>
              <w:rPr>
                <w:rFonts w:hint="eastAsia" w:ascii="仿宋_GB2312" w:hAnsi="仿宋_GB2312" w:eastAsia="仿宋_GB2312" w:cs="仿宋_GB2312"/>
                <w:kern w:val="0"/>
                <w:sz w:val="21"/>
                <w:szCs w:val="21"/>
                <w:lang w:eastAsia="zh-CN"/>
              </w:rPr>
              <w:t>；</w:t>
            </w:r>
          </w:p>
          <w:p w14:paraId="7CEBC824">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分）：服务对象提出</w:t>
            </w:r>
            <w:r>
              <w:rPr>
                <w:rFonts w:hint="eastAsia" w:ascii="仿宋_GB2312" w:hAnsi="仿宋_GB2312" w:eastAsia="仿宋_GB2312" w:cs="仿宋_GB2312"/>
                <w:kern w:val="0"/>
                <w:sz w:val="21"/>
                <w:szCs w:val="21"/>
                <w:lang w:val="en-US" w:eastAsia="zh-CN"/>
              </w:rPr>
              <w:t>视频制作修改</w:t>
            </w:r>
            <w:r>
              <w:rPr>
                <w:rFonts w:hint="eastAsia" w:ascii="仿宋_GB2312" w:hAnsi="仿宋_GB2312" w:eastAsia="仿宋_GB2312" w:cs="仿宋_GB2312"/>
                <w:kern w:val="0"/>
                <w:sz w:val="21"/>
                <w:szCs w:val="21"/>
              </w:rPr>
              <w:t>需求，</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小时内能响应服务，并对相关问题提出有效解决方案和意见</w:t>
            </w:r>
            <w:r>
              <w:rPr>
                <w:rFonts w:hint="eastAsia" w:ascii="仿宋_GB2312" w:hAnsi="仿宋_GB2312" w:eastAsia="仿宋_GB2312" w:cs="仿宋_GB2312"/>
                <w:kern w:val="0"/>
                <w:sz w:val="21"/>
                <w:szCs w:val="21"/>
                <w:lang w:eastAsia="zh-CN"/>
              </w:rPr>
              <w:t>。</w:t>
            </w:r>
          </w:p>
        </w:tc>
        <w:tc>
          <w:tcPr>
            <w:tcW w:w="679" w:type="dxa"/>
          </w:tcPr>
          <w:p w14:paraId="360B47E8">
            <w:pPr>
              <w:spacing w:line="340" w:lineRule="exact"/>
              <w:jc w:val="right"/>
              <w:rPr>
                <w:rFonts w:hint="eastAsia" w:ascii="仿宋" w:hAnsi="仿宋" w:eastAsia="仿宋" w:cs="仿宋"/>
                <w:kern w:val="0"/>
                <w:sz w:val="21"/>
                <w:szCs w:val="21"/>
              </w:rPr>
            </w:pPr>
          </w:p>
        </w:tc>
      </w:tr>
      <w:tr w14:paraId="41A1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5" w:type="dxa"/>
            <w:vMerge w:val="restart"/>
          </w:tcPr>
          <w:p w14:paraId="483B5720">
            <w:pPr>
              <w:spacing w:line="340" w:lineRule="exact"/>
              <w:jc w:val="center"/>
              <w:rPr>
                <w:rFonts w:hint="eastAsia" w:ascii="仿宋" w:hAnsi="仿宋" w:eastAsia="仿宋" w:cs="仿宋"/>
                <w:kern w:val="0"/>
                <w:sz w:val="21"/>
                <w:szCs w:val="21"/>
                <w:lang w:val="en-US" w:eastAsia="zh-CN"/>
              </w:rPr>
            </w:pPr>
          </w:p>
          <w:p w14:paraId="0F0FA399">
            <w:pPr>
              <w:spacing w:line="340" w:lineRule="exact"/>
              <w:jc w:val="center"/>
              <w:rPr>
                <w:rFonts w:hint="eastAsia" w:ascii="仿宋" w:hAnsi="仿宋" w:eastAsia="仿宋" w:cs="仿宋"/>
                <w:kern w:val="0"/>
                <w:sz w:val="21"/>
                <w:szCs w:val="21"/>
                <w:lang w:val="en-US" w:eastAsia="zh-CN"/>
              </w:rPr>
            </w:pPr>
          </w:p>
          <w:p w14:paraId="57F5DC13">
            <w:pPr>
              <w:spacing w:line="340" w:lineRule="exact"/>
              <w:jc w:val="center"/>
              <w:rPr>
                <w:rFonts w:hint="eastAsia" w:ascii="仿宋" w:hAnsi="仿宋" w:eastAsia="仿宋" w:cs="仿宋"/>
                <w:kern w:val="0"/>
                <w:sz w:val="21"/>
                <w:szCs w:val="21"/>
                <w:lang w:val="en-US" w:eastAsia="zh-CN"/>
              </w:rPr>
            </w:pPr>
          </w:p>
          <w:p w14:paraId="13C416FF">
            <w:pPr>
              <w:spacing w:line="340" w:lineRule="exact"/>
              <w:jc w:val="center"/>
              <w:rPr>
                <w:rFonts w:hint="eastAsia" w:ascii="仿宋" w:hAnsi="仿宋" w:eastAsia="仿宋" w:cs="仿宋"/>
                <w:kern w:val="0"/>
                <w:sz w:val="21"/>
                <w:szCs w:val="21"/>
                <w:lang w:val="en-US" w:eastAsia="zh-CN"/>
              </w:rPr>
            </w:pPr>
          </w:p>
          <w:p w14:paraId="7F653A1C">
            <w:pPr>
              <w:spacing w:line="340" w:lineRule="exact"/>
              <w:jc w:val="center"/>
              <w:rPr>
                <w:rFonts w:hint="eastAsia" w:ascii="仿宋" w:hAnsi="仿宋" w:eastAsia="仿宋" w:cs="仿宋"/>
                <w:kern w:val="0"/>
                <w:sz w:val="21"/>
                <w:szCs w:val="21"/>
                <w:lang w:val="en-US" w:eastAsia="zh-CN"/>
              </w:rPr>
            </w:pPr>
          </w:p>
          <w:p w14:paraId="2D28D164">
            <w:pPr>
              <w:spacing w:line="340" w:lineRule="exact"/>
              <w:jc w:val="center"/>
              <w:rPr>
                <w:rFonts w:hint="eastAsia" w:ascii="仿宋" w:hAnsi="仿宋" w:eastAsia="仿宋" w:cs="仿宋"/>
                <w:kern w:val="0"/>
                <w:sz w:val="21"/>
                <w:szCs w:val="21"/>
                <w:lang w:val="en-US" w:eastAsia="zh-CN"/>
              </w:rPr>
            </w:pPr>
          </w:p>
          <w:p w14:paraId="4350E1B7">
            <w:pPr>
              <w:spacing w:line="340" w:lineRule="exact"/>
              <w:jc w:val="center"/>
              <w:rPr>
                <w:rFonts w:hint="eastAsia" w:ascii="仿宋" w:hAnsi="仿宋" w:eastAsia="仿宋" w:cs="仿宋"/>
                <w:kern w:val="0"/>
                <w:sz w:val="21"/>
                <w:szCs w:val="21"/>
                <w:lang w:val="en-US" w:eastAsia="zh-CN"/>
              </w:rPr>
            </w:pPr>
          </w:p>
          <w:p w14:paraId="14705B36">
            <w:pPr>
              <w:spacing w:line="340" w:lineRule="exact"/>
              <w:jc w:val="center"/>
              <w:rPr>
                <w:rFonts w:hint="eastAsia" w:ascii="仿宋" w:hAnsi="仿宋" w:eastAsia="仿宋" w:cs="仿宋"/>
                <w:kern w:val="0"/>
                <w:sz w:val="21"/>
                <w:szCs w:val="21"/>
                <w:lang w:val="en-US" w:eastAsia="zh-CN"/>
              </w:rPr>
            </w:pPr>
          </w:p>
          <w:p w14:paraId="1A918836">
            <w:pPr>
              <w:spacing w:line="340" w:lineRule="exact"/>
              <w:jc w:val="center"/>
              <w:rPr>
                <w:rFonts w:hint="eastAsia" w:ascii="仿宋" w:hAnsi="仿宋" w:eastAsia="仿宋" w:cs="仿宋"/>
                <w:kern w:val="0"/>
                <w:sz w:val="21"/>
                <w:szCs w:val="21"/>
                <w:lang w:val="en-US" w:eastAsia="zh-CN"/>
              </w:rPr>
            </w:pPr>
          </w:p>
          <w:p w14:paraId="5C85F4C0">
            <w:pPr>
              <w:spacing w:line="340" w:lineRule="exact"/>
              <w:ind w:firstLine="210" w:firstLineChars="1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879" w:type="dxa"/>
            <w:vMerge w:val="restart"/>
            <w:vAlign w:val="center"/>
          </w:tcPr>
          <w:p w14:paraId="0F4103A2">
            <w:pPr>
              <w:tabs>
                <w:tab w:val="left" w:pos="1620"/>
              </w:tabs>
              <w:spacing w:line="340" w:lineRule="exact"/>
              <w:jc w:val="left"/>
              <w:rPr>
                <w:rFonts w:hint="eastAsia" w:ascii="仿宋" w:hAnsi="仿宋" w:eastAsia="仿宋" w:cs="仿宋"/>
                <w:b/>
                <w:kern w:val="0"/>
                <w:sz w:val="21"/>
                <w:szCs w:val="21"/>
                <w:lang w:eastAsia="zh-CN"/>
              </w:rPr>
            </w:pPr>
            <w:r>
              <w:rPr>
                <w:rFonts w:hint="eastAsia" w:ascii="仿宋" w:hAnsi="仿宋" w:eastAsia="仿宋" w:cs="仿宋"/>
                <w:b/>
                <w:kern w:val="0"/>
                <w:sz w:val="21"/>
                <w:szCs w:val="21"/>
                <w:lang w:eastAsia="zh-CN"/>
              </w:rPr>
              <w:tab/>
            </w:r>
          </w:p>
          <w:p w14:paraId="223B4024">
            <w:pPr>
              <w:spacing w:line="340" w:lineRule="exact"/>
              <w:jc w:val="center"/>
              <w:rPr>
                <w:rFonts w:hint="eastAsia" w:ascii="仿宋" w:hAnsi="仿宋" w:eastAsia="仿宋" w:cs="仿宋"/>
                <w:kern w:val="0"/>
                <w:sz w:val="21"/>
                <w:szCs w:val="21"/>
              </w:rPr>
            </w:pPr>
            <w:r>
              <w:rPr>
                <w:rFonts w:hint="eastAsia" w:ascii="仿宋_GB2312" w:hAnsi="仿宋_GB2312" w:eastAsia="仿宋_GB2312" w:cs="仿宋_GB2312"/>
                <w:kern w:val="0"/>
                <w:sz w:val="21"/>
                <w:szCs w:val="21"/>
              </w:rPr>
              <w:t>商务分（满分15分）</w:t>
            </w:r>
          </w:p>
        </w:tc>
        <w:tc>
          <w:tcPr>
            <w:tcW w:w="1114" w:type="dxa"/>
            <w:vAlign w:val="center"/>
          </w:tcPr>
          <w:p w14:paraId="4DBADB97">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（7）后续跟踪服务（</w:t>
            </w:r>
            <w:r>
              <w:rPr>
                <w:rFonts w:hint="eastAsia" w:ascii="仿宋_GB2312" w:hAnsi="仿宋_GB2312" w:eastAsia="仿宋_GB2312" w:cs="仿宋_GB2312"/>
                <w:kern w:val="0"/>
                <w:sz w:val="21"/>
                <w:szCs w:val="21"/>
                <w:lang w:val="en-US" w:eastAsia="zh-CN"/>
              </w:rPr>
              <w:t>满分6分</w:t>
            </w:r>
            <w:r>
              <w:rPr>
                <w:rFonts w:hint="eastAsia" w:ascii="仿宋_GB2312" w:hAnsi="仿宋_GB2312" w:eastAsia="仿宋_GB2312" w:cs="仿宋_GB2312"/>
                <w:kern w:val="0"/>
                <w:sz w:val="21"/>
                <w:szCs w:val="21"/>
                <w:lang w:eastAsia="zh-CN"/>
              </w:rPr>
              <w:t>）</w:t>
            </w:r>
          </w:p>
        </w:tc>
        <w:tc>
          <w:tcPr>
            <w:tcW w:w="7047" w:type="dxa"/>
            <w:vAlign w:val="center"/>
          </w:tcPr>
          <w:p w14:paraId="506706E5">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评委根据跟踪服务方案的全面性、针对性进行评审：① 需承诺提供月度传播数据报告（含浏览量、粉丝数、单期播放量、核心视频达标情况）；② 季度提供优化方案（根据数据调整内容或传播策略）；③ 项目结束后1个月内提供全面复盘报告（含目标达成情况、用户画像分析、问题总结、改进建议）。</w:t>
            </w:r>
          </w:p>
          <w:p w14:paraId="457ED57C">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一档（1分）：仅提供年度基础数据，无分析及优化建议；</w:t>
            </w:r>
          </w:p>
          <w:p w14:paraId="7CE0D2E4">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二档（3分）：提供月度数据 + 简单分析，无季度优化方案；</w:t>
            </w:r>
          </w:p>
          <w:p w14:paraId="05DF74BA">
            <w:pPr>
              <w:spacing w:line="340" w:lineRule="exact"/>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三档（6 分）：按要求提供月度报告、季度优化、全面复盘，数据精准、分析深入、建议可行。</w:t>
            </w:r>
          </w:p>
        </w:tc>
        <w:tc>
          <w:tcPr>
            <w:tcW w:w="679" w:type="dxa"/>
          </w:tcPr>
          <w:p w14:paraId="38A4A23B">
            <w:pPr>
              <w:spacing w:line="340" w:lineRule="exact"/>
              <w:jc w:val="right"/>
              <w:rPr>
                <w:rFonts w:hint="eastAsia" w:ascii="仿宋" w:hAnsi="仿宋" w:eastAsia="仿宋" w:cs="仿宋"/>
                <w:kern w:val="0"/>
                <w:sz w:val="21"/>
                <w:szCs w:val="21"/>
              </w:rPr>
            </w:pPr>
          </w:p>
        </w:tc>
      </w:tr>
      <w:tr w14:paraId="4A59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15" w:type="dxa"/>
            <w:vMerge w:val="continue"/>
          </w:tcPr>
          <w:p w14:paraId="4B79FBA3">
            <w:pPr>
              <w:spacing w:line="340" w:lineRule="exact"/>
              <w:jc w:val="center"/>
              <w:rPr>
                <w:rFonts w:hint="eastAsia" w:ascii="仿宋" w:hAnsi="仿宋" w:eastAsia="仿宋" w:cs="仿宋"/>
                <w:kern w:val="0"/>
                <w:sz w:val="21"/>
                <w:szCs w:val="21"/>
              </w:rPr>
            </w:pPr>
          </w:p>
        </w:tc>
        <w:tc>
          <w:tcPr>
            <w:tcW w:w="879" w:type="dxa"/>
            <w:vMerge w:val="continue"/>
            <w:vAlign w:val="center"/>
          </w:tcPr>
          <w:p w14:paraId="36103825">
            <w:pPr>
              <w:spacing w:line="340" w:lineRule="exact"/>
              <w:jc w:val="center"/>
              <w:rPr>
                <w:rFonts w:hint="eastAsia" w:ascii="仿宋" w:hAnsi="仿宋" w:eastAsia="仿宋" w:cs="仿宋"/>
                <w:kern w:val="0"/>
                <w:sz w:val="21"/>
                <w:szCs w:val="21"/>
              </w:rPr>
            </w:pPr>
          </w:p>
        </w:tc>
        <w:tc>
          <w:tcPr>
            <w:tcW w:w="1114" w:type="dxa"/>
            <w:vAlign w:val="center"/>
          </w:tcPr>
          <w:p w14:paraId="6E01E4CC">
            <w:pPr>
              <w:spacing w:line="340" w:lineRule="exact"/>
              <w:jc w:val="lef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）项目经验与学科优（</w:t>
            </w:r>
            <w:r>
              <w:rPr>
                <w:rFonts w:hint="eastAsia" w:ascii="仿宋_GB2312" w:hAnsi="仿宋_GB2312" w:eastAsia="仿宋_GB2312" w:cs="仿宋_GB2312"/>
                <w:kern w:val="0"/>
                <w:sz w:val="21"/>
                <w:szCs w:val="21"/>
                <w:lang w:val="en-US" w:eastAsia="zh-CN"/>
              </w:rPr>
              <w:t>满分</w:t>
            </w:r>
            <w:r>
              <w:rPr>
                <w:rFonts w:hint="eastAsia" w:ascii="仿宋_GB2312" w:hAnsi="仿宋_GB2312" w:eastAsia="仿宋_GB2312" w:cs="仿宋_GB2312"/>
                <w:kern w:val="0"/>
                <w:sz w:val="21"/>
                <w:szCs w:val="21"/>
              </w:rPr>
              <w:t>9分）</w:t>
            </w:r>
          </w:p>
        </w:tc>
        <w:tc>
          <w:tcPr>
            <w:tcW w:w="7047" w:type="dxa"/>
            <w:vAlign w:val="center"/>
          </w:tcPr>
          <w:p w14:paraId="6A0F6888">
            <w:pPr>
              <w:spacing w:line="34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业绩分满分（</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分）</w:t>
            </w:r>
          </w:p>
          <w:p w14:paraId="63C457DD">
            <w:pPr>
              <w:spacing w:line="340" w:lineRule="exact"/>
              <w:jc w:val="left"/>
              <w:rPr>
                <w:rFonts w:hint="eastAsia" w:ascii="仿宋" w:hAnsi="仿宋" w:eastAsia="仿宋_GB2312" w:cs="仿宋"/>
                <w:kern w:val="0"/>
                <w:sz w:val="21"/>
                <w:szCs w:val="21"/>
                <w:lang w:eastAsia="zh-CN"/>
              </w:rPr>
            </w:pPr>
            <w:r>
              <w:rPr>
                <w:rFonts w:hint="eastAsia" w:ascii="仿宋_GB2312" w:hAnsi="仿宋_GB2312" w:eastAsia="仿宋_GB2312" w:cs="仿宋_GB2312"/>
                <w:kern w:val="0"/>
                <w:sz w:val="21"/>
                <w:szCs w:val="21"/>
              </w:rPr>
              <w:t>自202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年以来承</w:t>
            </w:r>
            <w:r>
              <w:rPr>
                <w:rFonts w:hint="eastAsia" w:ascii="仿宋_GB2312" w:hAnsi="仿宋_GB2312" w:eastAsia="仿宋_GB2312" w:cs="仿宋_GB2312"/>
                <w:kern w:val="0"/>
                <w:sz w:val="21"/>
                <w:szCs w:val="21"/>
                <w:lang w:val="en-US" w:eastAsia="zh-CN"/>
              </w:rPr>
              <w:t>接</w:t>
            </w:r>
            <w:r>
              <w:rPr>
                <w:rFonts w:hint="eastAsia" w:ascii="仿宋_GB2312" w:hAnsi="仿宋_GB2312" w:eastAsia="仿宋_GB2312" w:cs="仿宋_GB2312"/>
                <w:kern w:val="0"/>
                <w:sz w:val="21"/>
                <w:szCs w:val="21"/>
              </w:rPr>
              <w:t>过</w:t>
            </w:r>
            <w:r>
              <w:rPr>
                <w:rFonts w:hint="eastAsia" w:ascii="仿宋_GB2312" w:hAnsi="仿宋_GB2312" w:eastAsia="仿宋_GB2312" w:cs="仿宋_GB2312"/>
                <w:kern w:val="0"/>
                <w:sz w:val="21"/>
                <w:szCs w:val="21"/>
                <w:lang w:val="en-US" w:eastAsia="zh-CN"/>
              </w:rPr>
              <w:t>AI数字人视频制作</w:t>
            </w:r>
            <w:r>
              <w:rPr>
                <w:rFonts w:hint="eastAsia" w:ascii="仿宋_GB2312" w:hAnsi="仿宋_GB2312" w:eastAsia="仿宋_GB2312" w:cs="仿宋_GB2312"/>
                <w:kern w:val="0"/>
                <w:sz w:val="21"/>
                <w:szCs w:val="21"/>
              </w:rPr>
              <w:t>项目</w:t>
            </w:r>
            <w:r>
              <w:rPr>
                <w:rFonts w:hint="eastAsia" w:ascii="仿宋_GB2312" w:hAnsi="仿宋_GB2312" w:eastAsia="仿宋_GB2312" w:cs="仿宋_GB2312"/>
                <w:kern w:val="0"/>
                <w:sz w:val="21"/>
                <w:szCs w:val="21"/>
                <w:lang w:val="en-US" w:eastAsia="zh-CN"/>
              </w:rPr>
              <w:t>及课程录制制作项目</w:t>
            </w:r>
            <w:r>
              <w:rPr>
                <w:rFonts w:hint="eastAsia" w:ascii="仿宋_GB2312" w:hAnsi="仿宋_GB2312" w:eastAsia="仿宋_GB2312" w:cs="仿宋_GB2312"/>
                <w:kern w:val="0"/>
                <w:sz w:val="21"/>
                <w:szCs w:val="21"/>
              </w:rPr>
              <w:t>（提交证明材料：照片</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sz w:val="21"/>
                <w:szCs w:val="21"/>
              </w:rPr>
              <w:t>协议</w:t>
            </w:r>
            <w:r>
              <w:rPr>
                <w:rFonts w:hint="eastAsia" w:ascii="仿宋_GB2312" w:hAnsi="仿宋_GB2312" w:eastAsia="仿宋_GB2312" w:cs="仿宋_GB2312"/>
                <w:sz w:val="21"/>
                <w:szCs w:val="21"/>
                <w:lang w:val="en-US" w:eastAsia="zh-CN"/>
              </w:rPr>
              <w:t>等</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每承</w:t>
            </w:r>
            <w:r>
              <w:rPr>
                <w:rFonts w:hint="eastAsia" w:ascii="仿宋_GB2312" w:hAnsi="仿宋_GB2312" w:eastAsia="仿宋_GB2312" w:cs="仿宋_GB2312"/>
                <w:kern w:val="0"/>
                <w:sz w:val="21"/>
                <w:szCs w:val="21"/>
                <w:lang w:val="en-US" w:eastAsia="zh-CN"/>
              </w:rPr>
              <w:t>接</w:t>
            </w:r>
            <w:r>
              <w:rPr>
                <w:rFonts w:hint="eastAsia" w:ascii="仿宋_GB2312" w:hAnsi="仿宋_GB2312" w:eastAsia="仿宋_GB2312" w:cs="仿宋_GB2312"/>
                <w:kern w:val="0"/>
                <w:sz w:val="21"/>
                <w:szCs w:val="21"/>
              </w:rPr>
              <w:t>1个项目得1分，最高得</w:t>
            </w:r>
            <w:r>
              <w:rPr>
                <w:rFonts w:hint="eastAsia"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CN"/>
              </w:rPr>
              <w:t>。</w:t>
            </w:r>
            <w:bookmarkStart w:id="1" w:name="_GoBack"/>
            <w:bookmarkEnd w:id="1"/>
          </w:p>
        </w:tc>
        <w:tc>
          <w:tcPr>
            <w:tcW w:w="679" w:type="dxa"/>
          </w:tcPr>
          <w:p w14:paraId="53837E40">
            <w:pPr>
              <w:spacing w:line="340" w:lineRule="exact"/>
              <w:jc w:val="right"/>
              <w:rPr>
                <w:rFonts w:hint="eastAsia" w:ascii="仿宋" w:hAnsi="仿宋" w:eastAsia="仿宋" w:cs="仿宋"/>
                <w:kern w:val="0"/>
                <w:sz w:val="21"/>
                <w:szCs w:val="21"/>
              </w:rPr>
            </w:pPr>
          </w:p>
        </w:tc>
      </w:tr>
      <w:tr w14:paraId="32D4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5" w:type="dxa"/>
            <w:vMerge w:val="continue"/>
          </w:tcPr>
          <w:p w14:paraId="0177B97D">
            <w:pPr>
              <w:spacing w:line="340" w:lineRule="exact"/>
              <w:jc w:val="center"/>
              <w:rPr>
                <w:rFonts w:hint="eastAsia" w:ascii="仿宋" w:hAnsi="仿宋" w:eastAsia="仿宋" w:cs="仿宋"/>
                <w:kern w:val="0"/>
                <w:sz w:val="21"/>
                <w:szCs w:val="21"/>
              </w:rPr>
            </w:pPr>
          </w:p>
        </w:tc>
        <w:tc>
          <w:tcPr>
            <w:tcW w:w="879" w:type="dxa"/>
            <w:vMerge w:val="continue"/>
            <w:vAlign w:val="center"/>
          </w:tcPr>
          <w:p w14:paraId="7DA9FFC0">
            <w:pPr>
              <w:spacing w:line="340" w:lineRule="exact"/>
              <w:jc w:val="center"/>
              <w:rPr>
                <w:rFonts w:hint="eastAsia" w:ascii="仿宋" w:hAnsi="仿宋" w:eastAsia="仿宋" w:cs="仿宋"/>
                <w:kern w:val="0"/>
                <w:sz w:val="21"/>
                <w:szCs w:val="21"/>
              </w:rPr>
            </w:pPr>
          </w:p>
        </w:tc>
        <w:tc>
          <w:tcPr>
            <w:tcW w:w="1114" w:type="dxa"/>
            <w:vAlign w:val="center"/>
          </w:tcPr>
          <w:p w14:paraId="36BD0FB6">
            <w:pPr>
              <w:spacing w:line="340" w:lineRule="exact"/>
              <w:jc w:val="lef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诚信分</w:t>
            </w:r>
            <w:r>
              <w:rPr>
                <w:rFonts w:hint="eastAsia" w:ascii="仿宋_GB2312" w:hAnsi="仿宋_GB2312" w:eastAsia="仿宋_GB2312" w:cs="仿宋_GB2312"/>
                <w:kern w:val="0"/>
                <w:sz w:val="21"/>
                <w:szCs w:val="21"/>
              </w:rPr>
              <w:t>考核分（</w:t>
            </w:r>
            <w:r>
              <w:rPr>
                <w:rFonts w:hint="eastAsia" w:ascii="仿宋_GB2312" w:hAnsi="仿宋_GB2312" w:eastAsia="仿宋_GB2312" w:cs="仿宋_GB2312"/>
                <w:kern w:val="0"/>
                <w:sz w:val="21"/>
                <w:szCs w:val="21"/>
                <w:lang w:val="en-US" w:eastAsia="zh-CN"/>
              </w:rPr>
              <w:t>未存在违约不扣分</w:t>
            </w:r>
            <w:r>
              <w:rPr>
                <w:rFonts w:hint="eastAsia" w:ascii="仿宋_GB2312" w:hAnsi="仿宋_GB2312" w:eastAsia="仿宋_GB2312" w:cs="仿宋_GB2312"/>
                <w:kern w:val="0"/>
                <w:sz w:val="21"/>
                <w:szCs w:val="21"/>
              </w:rPr>
              <w:t>）</w:t>
            </w:r>
          </w:p>
        </w:tc>
        <w:tc>
          <w:tcPr>
            <w:tcW w:w="7047" w:type="dxa"/>
            <w:vAlign w:val="center"/>
          </w:tcPr>
          <w:p w14:paraId="44CA6E34">
            <w:pPr>
              <w:spacing w:line="340" w:lineRule="exact"/>
              <w:jc w:val="lef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供应商在截标日前一年内在政府采购活动中存在违约违规情形的（以财政部门书面认定材料为评分依据），每次扣除5分，最高扣10分。（若存在违约违规情形，由供应商提供认定材料；若不存在违约违规情形，提供无违约违规情形承诺书，格式自拟，加盖公章。若在项目处于质疑期，被其他利害关系供应商质疑或监督管理部门查实在政府采购活动中存在违约违规情形的，采购人有权将以提供虚假材料处理，报政府采购监督管理部门进行处罚）</w:t>
            </w:r>
          </w:p>
        </w:tc>
        <w:tc>
          <w:tcPr>
            <w:tcW w:w="679" w:type="dxa"/>
          </w:tcPr>
          <w:p w14:paraId="288913EE">
            <w:pPr>
              <w:spacing w:line="340" w:lineRule="exact"/>
              <w:jc w:val="right"/>
              <w:rPr>
                <w:rFonts w:hint="eastAsia" w:ascii="仿宋" w:hAnsi="仿宋" w:eastAsia="仿宋" w:cs="仿宋"/>
                <w:kern w:val="0"/>
                <w:sz w:val="21"/>
                <w:szCs w:val="21"/>
              </w:rPr>
            </w:pPr>
          </w:p>
        </w:tc>
      </w:tr>
      <w:tr w14:paraId="2E3B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5" w:type="dxa"/>
          </w:tcPr>
          <w:p w14:paraId="30C85B38">
            <w:pPr>
              <w:spacing w:line="340" w:lineRule="exact"/>
              <w:jc w:val="center"/>
              <w:rPr>
                <w:rFonts w:hint="eastAsia" w:ascii="仿宋" w:hAnsi="仿宋" w:eastAsia="仿宋" w:cs="仿宋"/>
                <w:kern w:val="0"/>
                <w:sz w:val="21"/>
                <w:szCs w:val="21"/>
                <w:lang w:val="en-US" w:eastAsia="zh-CN"/>
              </w:rPr>
            </w:pPr>
          </w:p>
          <w:p w14:paraId="35AAD95D">
            <w:pPr>
              <w:spacing w:line="340" w:lineRule="exact"/>
              <w:jc w:val="center"/>
              <w:rPr>
                <w:rFonts w:hint="eastAsia" w:ascii="仿宋" w:hAnsi="仿宋" w:eastAsia="仿宋" w:cs="仿宋"/>
                <w:kern w:val="0"/>
                <w:sz w:val="21"/>
                <w:szCs w:val="21"/>
                <w:lang w:val="en-US" w:eastAsia="zh-CN"/>
              </w:rPr>
            </w:pPr>
          </w:p>
          <w:p w14:paraId="08AC45E1">
            <w:pPr>
              <w:spacing w:line="340" w:lineRule="exact"/>
              <w:jc w:val="center"/>
              <w:rPr>
                <w:rFonts w:hint="eastAsia" w:ascii="仿宋" w:hAnsi="仿宋" w:eastAsia="仿宋" w:cs="仿宋"/>
                <w:kern w:val="0"/>
                <w:sz w:val="21"/>
                <w:szCs w:val="21"/>
                <w:lang w:val="en-US" w:eastAsia="zh-CN"/>
              </w:rPr>
            </w:pPr>
          </w:p>
          <w:p w14:paraId="04A18543">
            <w:pPr>
              <w:spacing w:line="340" w:lineRule="exact"/>
              <w:jc w:val="center"/>
              <w:rPr>
                <w:rFonts w:hint="eastAsia" w:ascii="仿宋" w:hAnsi="仿宋" w:eastAsia="仿宋" w:cs="仿宋"/>
                <w:kern w:val="0"/>
                <w:sz w:val="21"/>
                <w:szCs w:val="21"/>
                <w:lang w:val="en-US" w:eastAsia="zh-CN"/>
              </w:rPr>
            </w:pPr>
          </w:p>
          <w:p w14:paraId="6F57B955">
            <w:pPr>
              <w:spacing w:line="34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c>
          <w:tcPr>
            <w:tcW w:w="879" w:type="dxa"/>
            <w:vAlign w:val="center"/>
          </w:tcPr>
          <w:p w14:paraId="2629EEA9">
            <w:pPr>
              <w:spacing w:line="340" w:lineRule="exact"/>
              <w:jc w:val="center"/>
              <w:rPr>
                <w:rFonts w:hint="eastAsia" w:ascii="仿宋" w:hAnsi="仿宋" w:eastAsia="仿宋" w:cs="仿宋"/>
                <w:kern w:val="0"/>
                <w:sz w:val="21"/>
                <w:szCs w:val="21"/>
              </w:rPr>
            </w:pPr>
            <w:r>
              <w:rPr>
                <w:rFonts w:hint="eastAsia" w:ascii="仿宋_GB2312" w:hAnsi="仿宋_GB2312" w:eastAsia="仿宋_GB2312" w:cs="仿宋_GB2312"/>
                <w:kern w:val="0"/>
                <w:sz w:val="21"/>
                <w:szCs w:val="21"/>
              </w:rPr>
              <w:t>价格分（满分</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tc>
        <w:tc>
          <w:tcPr>
            <w:tcW w:w="1114" w:type="dxa"/>
            <w:vAlign w:val="center"/>
          </w:tcPr>
          <w:p w14:paraId="679B40E9">
            <w:pPr>
              <w:spacing w:line="340" w:lineRule="exact"/>
              <w:jc w:val="lef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）采购报价</w:t>
            </w:r>
          </w:p>
        </w:tc>
        <w:tc>
          <w:tcPr>
            <w:tcW w:w="7047" w:type="dxa"/>
            <w:vAlign w:val="center"/>
          </w:tcPr>
          <w:p w14:paraId="0CC91722">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（1）投标人为小型和微型企业的投标价格给予</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0%的扣除，以扣除后的价格</w:t>
            </w:r>
            <w:r>
              <w:rPr>
                <w:rFonts w:hint="eastAsia" w:ascii="仿宋_GB2312" w:hAnsi="仿宋_GB2312" w:eastAsia="仿宋_GB2312" w:cs="仿宋_GB2312"/>
                <w:kern w:val="0"/>
                <w:sz w:val="21"/>
                <w:szCs w:val="21"/>
                <w:lang w:eastAsia="zh-CN"/>
              </w:rPr>
              <w:t>作为</w:t>
            </w:r>
            <w:r>
              <w:rPr>
                <w:rFonts w:hint="eastAsia" w:ascii="仿宋_GB2312" w:hAnsi="仿宋_GB2312" w:eastAsia="仿宋_GB2312" w:cs="仿宋_GB2312"/>
                <w:kern w:val="0"/>
                <w:sz w:val="21"/>
                <w:szCs w:val="21"/>
              </w:rPr>
              <w:t>评标价，即评标价＝投标报价×（</w:t>
            </w:r>
            <w:r>
              <w:rPr>
                <w:rFonts w:hint="eastAsia"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rPr>
              <w:t>）；（以投标人《报价表》和《中小企业声明函》为评分依据）</w:t>
            </w:r>
          </w:p>
          <w:p w14:paraId="122B68CA">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）评标价＝投标报价；</w:t>
            </w:r>
          </w:p>
          <w:p w14:paraId="61202F9F">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）价格分计算公式：　</w:t>
            </w:r>
          </w:p>
          <w:p w14:paraId="20B3CDAF">
            <w:pPr>
              <w:spacing w:line="340" w:lineRule="exact"/>
              <w:ind w:firstLine="2310" w:firstLineChars="11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投标人最低评标价金额</w:t>
            </w:r>
          </w:p>
          <w:p w14:paraId="3C37C6CF">
            <w:pPr>
              <w:spacing w:line="340" w:lineRule="exact"/>
              <w:ind w:firstLine="210" w:firstLineChars="1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mc:AlternateContent>
                <mc:Choice Requires="wps">
                  <w:drawing>
                    <wp:anchor distT="0" distB="0" distL="114300" distR="114300" simplePos="0" relativeHeight="251660288" behindDoc="0" locked="0" layoutInCell="1" allowOverlap="1">
                      <wp:simplePos x="0" y="0"/>
                      <wp:positionH relativeFrom="column">
                        <wp:posOffset>1379220</wp:posOffset>
                      </wp:positionH>
                      <wp:positionV relativeFrom="paragraph">
                        <wp:posOffset>128905</wp:posOffset>
                      </wp:positionV>
                      <wp:extent cx="16002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8.6pt;margin-top:10.15pt;height:0pt;width:126pt;z-index:251660288;mso-width-relative:page;mso-height-relative:page;" filled="f" stroked="t" coordsize="21600,21600" o:gfxdata="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nAtj3W&#10;AAAACQEAAA8AAAAAAAAAAQAgAAAAIgAAAGRycy9kb3ducmV2LnhtbFBLAQIUABQAAAAIAIdO4kB5&#10;nMjN6QEAALgDAAAOAAAAAAAAAAEAIAAAACUBAABkcnMvZTJvRG9jLnhtbFBLBQYAAAAABgAGAFkB&#10;AACABQAAAAA=&#10;">
                      <v:fill on="f" focussize="0,0"/>
                      <v:stroke color="#000000" joinstyle="round"/>
                      <v:imagedata o:title=""/>
                      <o:lock v:ext="edit" aspectratio="f"/>
                    </v:line>
                  </w:pict>
                </mc:Fallback>
              </mc:AlternateContent>
            </w:r>
            <w:r>
              <w:rPr>
                <w:rFonts w:hint="eastAsia" w:ascii="仿宋_GB2312" w:hAnsi="仿宋_GB2312" w:eastAsia="仿宋_GB2312" w:cs="仿宋_GB2312"/>
                <w:kern w:val="0"/>
                <w:sz w:val="21"/>
                <w:szCs w:val="21"/>
              </w:rPr>
              <w:t>某投标人价格分＝                            ×　</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p w14:paraId="2AC7E0EB">
            <w:pPr>
              <w:spacing w:line="340" w:lineRule="exact"/>
              <w:ind w:firstLine="2310" w:firstLineChars="1100"/>
              <w:jc w:val="both"/>
              <w:rPr>
                <w:rFonts w:hint="eastAsia" w:ascii="仿宋" w:hAnsi="仿宋" w:eastAsia="仿宋" w:cs="仿宋"/>
                <w:kern w:val="0"/>
                <w:sz w:val="21"/>
                <w:szCs w:val="21"/>
              </w:rPr>
            </w:pPr>
            <w:r>
              <w:rPr>
                <w:rFonts w:hint="eastAsia" w:ascii="仿宋_GB2312" w:hAnsi="仿宋_GB2312" w:eastAsia="仿宋_GB2312" w:cs="仿宋_GB2312"/>
                <w:kern w:val="0"/>
                <w:sz w:val="21"/>
                <w:szCs w:val="21"/>
              </w:rPr>
              <w:t>某投标人评标价金额</w:t>
            </w:r>
          </w:p>
        </w:tc>
        <w:tc>
          <w:tcPr>
            <w:tcW w:w="679" w:type="dxa"/>
          </w:tcPr>
          <w:p w14:paraId="002E3B82">
            <w:pPr>
              <w:spacing w:line="340" w:lineRule="exact"/>
              <w:jc w:val="right"/>
              <w:rPr>
                <w:rFonts w:hint="eastAsia" w:ascii="仿宋" w:hAnsi="仿宋" w:eastAsia="仿宋" w:cs="仿宋"/>
                <w:kern w:val="0"/>
                <w:sz w:val="21"/>
                <w:szCs w:val="21"/>
              </w:rPr>
            </w:pPr>
          </w:p>
        </w:tc>
      </w:tr>
      <w:tr w14:paraId="17FB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5" w:type="dxa"/>
          </w:tcPr>
          <w:p w14:paraId="0F19A39F">
            <w:pPr>
              <w:spacing w:line="340" w:lineRule="exact"/>
              <w:jc w:val="center"/>
              <w:rPr>
                <w:rFonts w:hint="eastAsia" w:ascii="仿宋" w:hAnsi="仿宋" w:eastAsia="仿宋" w:cs="仿宋"/>
                <w:kern w:val="0"/>
                <w:sz w:val="21"/>
                <w:szCs w:val="21"/>
              </w:rPr>
            </w:pPr>
          </w:p>
        </w:tc>
        <w:tc>
          <w:tcPr>
            <w:tcW w:w="9040" w:type="dxa"/>
            <w:gridSpan w:val="3"/>
            <w:vAlign w:val="center"/>
          </w:tcPr>
          <w:p w14:paraId="730E9078">
            <w:pPr>
              <w:spacing w:line="3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_GB2312" w:hAnsi="仿宋_GB2312" w:eastAsia="仿宋_GB2312" w:cs="仿宋_GB2312"/>
                <w:kern w:val="0"/>
                <w:sz w:val="21"/>
                <w:szCs w:val="21"/>
              </w:rPr>
              <w:t>合计得分</w:t>
            </w:r>
          </w:p>
        </w:tc>
        <w:tc>
          <w:tcPr>
            <w:tcW w:w="679" w:type="dxa"/>
          </w:tcPr>
          <w:p w14:paraId="5CCFECC6">
            <w:pPr>
              <w:spacing w:line="340" w:lineRule="exact"/>
              <w:jc w:val="right"/>
              <w:rPr>
                <w:rFonts w:hint="eastAsia" w:ascii="仿宋" w:hAnsi="仿宋" w:eastAsia="仿宋" w:cs="仿宋"/>
                <w:kern w:val="0"/>
                <w:sz w:val="21"/>
                <w:szCs w:val="21"/>
              </w:rPr>
            </w:pPr>
          </w:p>
        </w:tc>
      </w:tr>
      <w:bookmarkEnd w:id="0"/>
    </w:tbl>
    <w:p w14:paraId="2FB9789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EA9AC2-0864-49AC-897B-49A0D9DCD5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1176505-8967-42B8-B51F-73927223FB3C}"/>
  </w:font>
  <w:font w:name="方正小标宋简体">
    <w:panose1 w:val="02010600010101010101"/>
    <w:charset w:val="86"/>
    <w:family w:val="auto"/>
    <w:pitch w:val="default"/>
    <w:sig w:usb0="00000001" w:usb1="080E0000" w:usb2="00000000" w:usb3="00000000" w:csb0="00040000" w:csb1="00000000"/>
    <w:embedRegular r:id="rId3" w:fontKey="{7B5CEFA3-42A8-45A5-B779-6363D6178EFF}"/>
  </w:font>
  <w:font w:name="仿宋">
    <w:panose1 w:val="02010609060101010101"/>
    <w:charset w:val="86"/>
    <w:family w:val="auto"/>
    <w:pitch w:val="default"/>
    <w:sig w:usb0="800002BF" w:usb1="38CF7CFA" w:usb2="00000016" w:usb3="00000000" w:csb0="00040001" w:csb1="00000000"/>
    <w:embedRegular r:id="rId4" w:fontKey="{3262E18A-FBED-4B02-9048-C347E740D556}"/>
  </w:font>
  <w:font w:name="仿宋_GB2312">
    <w:panose1 w:val="02010609030101010101"/>
    <w:charset w:val="86"/>
    <w:family w:val="auto"/>
    <w:pitch w:val="default"/>
    <w:sig w:usb0="00000001" w:usb1="080E0000" w:usb2="00000000" w:usb3="00000000" w:csb0="00040000" w:csb1="00000000"/>
    <w:embedRegular r:id="rId5" w:fontKey="{ECA8AEEF-AFC2-4C67-9CB0-D0DED8C887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20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F29B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F29B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28C70"/>
    <w:multiLevelType w:val="singleLevel"/>
    <w:tmpl w:val="95A28C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B4F8"/>
    <w:rsid w:val="01A91FD7"/>
    <w:rsid w:val="01DE1773"/>
    <w:rsid w:val="0626650E"/>
    <w:rsid w:val="0676405A"/>
    <w:rsid w:val="0B2B76BE"/>
    <w:rsid w:val="0C05627A"/>
    <w:rsid w:val="0C187218"/>
    <w:rsid w:val="0D02678E"/>
    <w:rsid w:val="106F367B"/>
    <w:rsid w:val="125E1D97"/>
    <w:rsid w:val="13493E38"/>
    <w:rsid w:val="13CF064E"/>
    <w:rsid w:val="15677CA6"/>
    <w:rsid w:val="16835A0C"/>
    <w:rsid w:val="16F26989"/>
    <w:rsid w:val="192B202A"/>
    <w:rsid w:val="1FF15549"/>
    <w:rsid w:val="22D45569"/>
    <w:rsid w:val="274C7A3A"/>
    <w:rsid w:val="2BDC6F4A"/>
    <w:rsid w:val="2CD248E0"/>
    <w:rsid w:val="2FEA0FE9"/>
    <w:rsid w:val="306D45C0"/>
    <w:rsid w:val="380D5AC9"/>
    <w:rsid w:val="38B868E2"/>
    <w:rsid w:val="3EAA49A7"/>
    <w:rsid w:val="3F812C69"/>
    <w:rsid w:val="3FD653A6"/>
    <w:rsid w:val="41D7768D"/>
    <w:rsid w:val="458D3D07"/>
    <w:rsid w:val="4C014490"/>
    <w:rsid w:val="4CEF0BAD"/>
    <w:rsid w:val="4EDE48E5"/>
    <w:rsid w:val="507C2A18"/>
    <w:rsid w:val="59093D59"/>
    <w:rsid w:val="618712A3"/>
    <w:rsid w:val="63360831"/>
    <w:rsid w:val="65E45FAE"/>
    <w:rsid w:val="704A2F79"/>
    <w:rsid w:val="740B313B"/>
    <w:rsid w:val="768F37FB"/>
    <w:rsid w:val="77DC2E91"/>
    <w:rsid w:val="79E75729"/>
    <w:rsid w:val="7A0B7259"/>
    <w:rsid w:val="7C69082B"/>
    <w:rsid w:val="7F6FB4F8"/>
    <w:rsid w:val="FFBF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3">
    <w:name w:val="Plain Text"/>
    <w:basedOn w:val="1"/>
    <w:qFormat/>
    <w:uiPriority w:val="0"/>
    <w:rPr>
      <w:rFonts w:ascii="宋体" w:hAnsi="Courier New" w:eastAsiaTheme="minorEastAsia" w:cstheme="minorBidi"/>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2062</Words>
  <Characters>2100</Characters>
  <Lines>0</Lines>
  <Paragraphs>0</Paragraphs>
  <TotalTime>7</TotalTime>
  <ScaleCrop>false</ScaleCrop>
  <LinksUpToDate>false</LinksUpToDate>
  <CharactersWithSpaces>2160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2023-05-06T17:10:00Z</dcterms:created>
  <dc:creator>guest</dc:creator>
  <cp:lastModifiedBy>薛北</cp:lastModifiedBy>
  <dcterms:modified xsi:type="dcterms:W3CDTF">2025-12-03T08:44:44Z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DEC3FD718F3B4B2A9749ED25489628CE_13</vt:lpwstr>
  </property>
  <property fmtid="{D5CDD505-2E9C-101B-9397-08002B2CF9AE}" pid="4" name="KSOTemplateDocerSaveRecord">
    <vt:lpwstr>eyJoZGlkIjoiYzE1ZDBjNDE5ZTUxYzUwMmRjYjQwNzIwN2VhMzFhYTUiLCJ1c2VySWQiOiIzMjExNjMxMTAifQ==</vt:lpwstr>
  </property>
</Properties>
</file>