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1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spacing w:val="10"/>
          <w:sz w:val="32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柳州市科技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  <w:lang w:val="en-US" w:eastAsia="zh-CN"/>
        </w:rPr>
        <w:t>重大专项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验收权重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细则（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一、柳州市科技重大专项项目考核指标验收权重：</w:t>
      </w:r>
    </w:p>
    <w:tbl>
      <w:tblPr>
        <w:tblStyle w:val="3"/>
        <w:tblpPr w:leftFromText="180" w:rightFromText="180" w:vertAnchor="text" w:horzAnchor="page" w:tblpX="1800" w:tblpY="61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950"/>
        <w:gridCol w:w="1510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，则按相应权重划分给其他指标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三、本细则自印发之日起实施，有效期至2025 年12 月31 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43A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2024-06-28T09:43:00Z</dcterms:created>
  <dc:creator>江东远</dc:creator>
  <cp:lastModifiedBy>江东远</cp:lastModifiedBy>
  <dcterms:modified xsi:type="dcterms:W3CDTF">2024-06-28T09:44:23Z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80A83A5F4DA14B99B47296CFAA1FAF64_11</vt:lpwstr>
  </property>
</Properties>
</file>