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jc w:val="left"/>
        <w:rPr>
          <w:rFonts w:ascii="黑体" w:eastAsia="黑体" w:hAnsi="黑体" w:cs="黑体" w:hint="eastAsia"/>
          <w:snapToGrid w:val="0"/>
          <w:sz w:val="32"/>
          <w:szCs w:val="32"/>
          <w:lang w:val="en-US" w:eastAsia="zh-CN"/>
        </w:rPr>
      </w:pPr>
      <w:r>
        <w:rPr>
          <w:rFonts w:ascii="黑体" w:eastAsia="黑体" w:hAnsi="黑体" w:cs="黑体" w:hint="eastAsia"/>
          <w:snapToGrid w:val="0"/>
          <w:sz w:val="32"/>
          <w:szCs w:val="32"/>
        </w:rPr>
        <w:t>附件</w:t>
      </w:r>
      <w:r>
        <w:rPr>
          <w:rFonts w:ascii="黑体" w:eastAsia="黑体" w:hAnsi="黑体" w:cs="黑体" w:hint="eastAsia"/>
          <w:snapToGrid w:val="0"/>
          <w:sz w:val="32"/>
          <w:szCs w:val="32"/>
          <w:lang w:val="en-US" w:eastAsia="zh-CN"/>
        </w:rPr>
        <w:t>4</w:t>
      </w:r>
    </w:p>
    <w:p>
      <w:pPr>
        <w:jc w:val="left"/>
        <w:rPr>
          <w:rFonts w:ascii="黑体" w:eastAsia="黑体" w:hAnsi="黑体" w:cs="黑体" w:hint="eastAsia"/>
          <w:snapToGrid w:val="0"/>
          <w:sz w:val="32"/>
          <w:szCs w:val="32"/>
          <w:lang w:val="en-US" w:eastAsia="zh-CN"/>
        </w:rPr>
      </w:pPr>
    </w:p>
    <w:p>
      <w:pPr>
        <w:spacing w:line="720" w:lineRule="exact"/>
        <w:jc w:val="center"/>
        <w:rPr>
          <w:rFonts w:ascii="Times New Roman" w:eastAsia="方正小标宋简体" w:hAnsi="Times New Roman" w:cs="Times New Roman" w:hint="default"/>
          <w:snapToGrid w:val="0"/>
          <w:sz w:val="44"/>
          <w:szCs w:val="44"/>
        </w:rPr>
      </w:pPr>
      <w:r>
        <w:rPr>
          <w:rFonts w:ascii="Times New Roman" w:eastAsia="方正小标宋简体" w:hAnsi="Times New Roman" w:cs="Times New Roman" w:hint="default"/>
          <w:snapToGrid w:val="0"/>
          <w:sz w:val="44"/>
          <w:szCs w:val="44"/>
        </w:rPr>
        <w:t>绿色供应链管理评价要求</w:t>
      </w:r>
    </w:p>
    <w:p>
      <w:pPr>
        <w:rPr>
          <w:rFonts w:ascii="Times New Roman" w:hAnsi="Times New Roman" w:cs="Times New Roman" w:hint="default"/>
          <w:snapToGrid w:val="0"/>
          <w:sz w:val="32"/>
          <w:szCs w:val="32"/>
        </w:rPr>
      </w:pP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一、总则</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（一）定义、目的及范围</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（二）基本要求</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1、具有独立法人资格；</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2、具有较强的行业影响力；</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3、具有较完善的能源资源、环境管理体系，各项管理制度健全，符合国家和地方的法律法规及标准规范要求，近三年无重大安全和环境污染事故；</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4、拥有数量众多的供应商，在供应商中有很强的影响力，与上下游供应商建立良好的合作关系；</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5、有完善的供应商管理体系，建立健全的供应商认证、选择、审核、绩效管理和退出机制；</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6、有健全的财务管理制度，销售盈利能力处于行业领先水平；</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7、对实施绿色供应链管理有明确的工作目标、思路、计划和措施。</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二、企业绿色供应链管理关键环节</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（一）确立可持续的绿色供应链管理战略</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（二）实施绿色供应商管理</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ascii="Times New Roman" w:eastAsia="仿宋_GB2312" w:hAnsi="Times New Roman" w:cs="Times New Roman" w:hint="default"/>
          <w:snapToGrid w:val="0"/>
          <w:sz w:val="32"/>
          <w:szCs w:val="32"/>
          <w:lang w:val="en-US" w:eastAsia="zh-CN"/>
        </w:rPr>
        <w:t>材料</w:t>
      </w:r>
      <w:r>
        <w:rPr>
          <w:rFonts w:ascii="Times New Roman" w:eastAsia="仿宋_GB2312" w:hAnsi="Times New Roman" w:cs="Times New Roman" w:hint="default"/>
          <w:snapToGrid w:val="0"/>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（三）强化绿色生产</w:t>
      </w:r>
    </w:p>
    <w:p>
      <w:pPr>
        <w:ind w:firstLine="474" w:firstLineChars="148"/>
        <w:outlineLvl w:val="0"/>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（四）建设绿色回收体系</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（五）搭建绿色信息收集监测披露平台</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bCs/>
          <w:snapToGrid w:val="0"/>
          <w:sz w:val="32"/>
          <w:szCs w:val="32"/>
        </w:rPr>
        <w:t>企业要建立能源消耗在线监测体系和</w:t>
      </w:r>
      <w:bookmarkStart w:id="0" w:name="OLE_LINK2"/>
      <w:bookmarkStart w:id="1" w:name="OLE_LINK1"/>
      <w:r>
        <w:rPr>
          <w:rFonts w:ascii="Times New Roman" w:eastAsia="仿宋_GB2312" w:hAnsi="Times New Roman" w:cs="Times New Roman" w:hint="default"/>
          <w:bCs/>
          <w:snapToGrid w:val="0"/>
          <w:sz w:val="32"/>
          <w:szCs w:val="32"/>
        </w:rPr>
        <w:t>减排监测数据库</w:t>
      </w:r>
      <w:bookmarkEnd w:id="0"/>
      <w:bookmarkEnd w:id="1"/>
      <w:r>
        <w:rPr>
          <w:rFonts w:ascii="Times New Roman" w:eastAsia="仿宋_GB2312" w:hAnsi="Times New Roman" w:cs="Times New Roman" w:hint="default"/>
          <w:bCs/>
          <w:snapToGrid w:val="0"/>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三、企业绿色供应链管理评价方法</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（一）评价方式</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1、企业绿色供应链管理评价由第三方组织实施。</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2、第三方根据绿色供应链管理关键环节，按照评价标准对企业进行实地调查，查阅相关文件、报表、数据等，确保评价结果客观准确。</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（二）评价指标体系</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ascii="Times New Roman" w:eastAsia="仿宋_GB2312" w:hAnsi="Times New Roman" w:cs="Times New Roman" w:hint="default"/>
          <w:snapToGrid w:val="0"/>
          <w:sz w:val="32"/>
          <w:szCs w:val="32"/>
        </w:rPr>
      </w:pPr>
    </w:p>
    <w:p>
      <w:pPr>
        <w:ind w:firstLine="640" w:firstLineChars="200"/>
        <w:jc w:val="center"/>
        <w:rPr>
          <w:rFonts w:ascii="Times New Roman" w:eastAsia="仿宋_GB2312" w:hAnsi="Times New Roman" w:cs="Times New Roman" w:hint="default"/>
          <w:snapToGrid w:val="0"/>
          <w:sz w:val="32"/>
          <w:szCs w:val="32"/>
        </w:rPr>
      </w:pPr>
    </w:p>
    <w:p>
      <w:pPr>
        <w:ind w:firstLine="1260" w:firstLineChars="450"/>
        <w:jc w:val="both"/>
        <w:rPr>
          <w:rFonts w:ascii="Times New Roman" w:eastAsia="黑体" w:hAnsi="Times New Roman" w:cs="Times New Roman" w:hint="default"/>
          <w:snapToGrid w:val="0"/>
          <w:sz w:val="28"/>
          <w:szCs w:val="28"/>
        </w:rPr>
      </w:pPr>
      <w:r>
        <w:rPr>
          <w:rFonts w:ascii="Times New Roman" w:eastAsia="黑体" w:hAnsi="Times New Roman" w:cs="Times New Roman" w:hint="default"/>
          <w:snapToGrid w:val="0"/>
          <w:sz w:val="28"/>
          <w:szCs w:val="28"/>
        </w:rPr>
        <w:t>表1  企业绿色供应链管理评价指标体系</w:t>
      </w:r>
    </w:p>
    <w:tbl>
      <w:tblPr>
        <w:tblStyle w:val="TableNormal"/>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180"/>
        <w:gridCol w:w="728"/>
        <w:gridCol w:w="3601"/>
        <w:gridCol w:w="719"/>
        <w:gridCol w:w="840"/>
        <w:gridCol w:w="1454"/>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blHeader/>
        </w:trPr>
        <w:tc>
          <w:tcPr>
            <w:tcW w:w="118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一级指标</w:t>
            </w: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序号</w:t>
            </w:r>
          </w:p>
        </w:tc>
        <w:tc>
          <w:tcPr>
            <w:tcW w:w="3601"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二级指标</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单位</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最高分值</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指标类型</w:t>
            </w:r>
          </w:p>
        </w:tc>
      </w:tr>
      <w:tr>
        <w:tblPrEx>
          <w:tblW w:w="8522" w:type="dxa"/>
          <w:tblLayout w:type="fixed"/>
          <w:tblCellMar>
            <w:top w:w="0" w:type="dxa"/>
            <w:left w:w="108" w:type="dxa"/>
            <w:bottom w:w="0" w:type="dxa"/>
            <w:right w:w="108" w:type="dxa"/>
          </w:tblCellMar>
          <w:tblLook w:val="0000"/>
        </w:tblPrEx>
        <w:tc>
          <w:tcPr>
            <w:tcW w:w="1180" w:type="dxa"/>
            <w:vMerge w:val="restart"/>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绿色供应链管理</w:t>
            </w:r>
          </w:p>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战略X1</w:t>
            </w: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纳入公司发展规划X11</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8</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jc w:val="cente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制定绿色供应链管理目标X12</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6</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3</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设置专门管理机构X13</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6</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restart"/>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实施绿色供应商</w:t>
            </w:r>
          </w:p>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管理X2</w:t>
            </w: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4</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绿色采购标准制度完善X21</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4</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jc w:val="cente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5</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供应商认证体系完善X22</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3</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6</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对供应商定期审核X23</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3</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7</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供应商绩效评估制度健全X24</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3</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8</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定期对供应商进行培训X25</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3</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rPr>
                <w:rFonts w:ascii="仿宋_GB2312" w:eastAsia="仿宋_GB2312" w:hAnsi="仿宋_GB2312" w:cs="仿宋_GB2312" w:hint="eastAsia"/>
                <w:snapToGrid w:val="0"/>
                <w:sz w:val="24"/>
              </w:rPr>
            </w:pP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9</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低风险供应商占比X26</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4</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定量</w:t>
            </w:r>
          </w:p>
        </w:tc>
      </w:tr>
      <w:tr>
        <w:tblPrEx>
          <w:tblW w:w="8522" w:type="dxa"/>
          <w:tblLayout w:type="fixed"/>
          <w:tblCellMar>
            <w:top w:w="0" w:type="dxa"/>
            <w:left w:w="108" w:type="dxa"/>
            <w:bottom w:w="0" w:type="dxa"/>
            <w:right w:w="108" w:type="dxa"/>
          </w:tblCellMar>
          <w:tblLook w:val="0000"/>
        </w:tblPrEx>
        <w:tc>
          <w:tcPr>
            <w:tcW w:w="1180" w:type="dxa"/>
            <w:vMerge w:val="restart"/>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绿色生产X3</w:t>
            </w:r>
          </w:p>
        </w:tc>
        <w:tc>
          <w:tcPr>
            <w:tcW w:w="728" w:type="dxa"/>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10</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节能减排环保合规X31</w:t>
            </w:r>
          </w:p>
        </w:tc>
        <w:tc>
          <w:tcPr>
            <w:tcW w:w="719" w:type="dxa"/>
            <w:vAlign w:val="center"/>
          </w:tcPr>
          <w:p>
            <w:pPr>
              <w:jc w:val="center"/>
              <w:rPr>
                <w:rFonts w:ascii="仿宋_GB2312" w:eastAsia="仿宋_GB2312" w:hAnsi="仿宋_GB2312" w:cs="仿宋_GB2312" w:hint="eastAsia"/>
                <w:snapToGrid w:val="0"/>
                <w:sz w:val="24"/>
              </w:rPr>
            </w:pP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10</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1236"/>
        </w:trPr>
        <w:tc>
          <w:tcPr>
            <w:tcW w:w="1180" w:type="dxa"/>
            <w:vMerge/>
            <w:vAlign w:val="center"/>
          </w:tcPr>
          <w:p>
            <w:pP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11</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符合有害物质限制使用管理办法X32</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10</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c>
          <w:tcPr>
            <w:tcW w:w="1180" w:type="dxa"/>
            <w:vMerge w:val="restart"/>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绿色回收X4</w:t>
            </w: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12</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产品回收率X41</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定量</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13</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包装回收率X42</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定量</w:t>
            </w:r>
          </w:p>
        </w:tc>
      </w:tr>
      <w:tr>
        <w:tblPrEx>
          <w:tblW w:w="8522" w:type="dxa"/>
          <w:tblLayout w:type="fixed"/>
          <w:tblCellMar>
            <w:top w:w="0" w:type="dxa"/>
            <w:left w:w="108" w:type="dxa"/>
            <w:bottom w:w="0" w:type="dxa"/>
            <w:right w:w="108" w:type="dxa"/>
          </w:tblCellMar>
          <w:tblLook w:val="0000"/>
        </w:tblPrEx>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14</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回收体系完善（含自建、与第三方联合回收）X43</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574"/>
        </w:trPr>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15</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指导下游企业回收拆解X44</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p>
            <w:pPr>
              <w:jc w:val="center"/>
              <w:rPr>
                <w:rFonts w:ascii="仿宋_GB2312" w:eastAsia="仿宋_GB2312" w:hAnsi="仿宋_GB2312" w:cs="仿宋_GB2312" w:hint="eastAsia"/>
                <w:snapToGrid w:val="0"/>
                <w:sz w:val="24"/>
              </w:rPr>
            </w:pP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906"/>
        </w:trPr>
        <w:tc>
          <w:tcPr>
            <w:tcW w:w="118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绿色信息平台建设X5</w:t>
            </w: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16</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绿色供应链管理信息平台完善X51</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10</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906"/>
        </w:trPr>
        <w:tc>
          <w:tcPr>
            <w:tcW w:w="1180" w:type="dxa"/>
            <w:vMerge w:val="restart"/>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绿色信息披露X6</w:t>
            </w: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17</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披露企业节能减排减碳信息X61</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762"/>
        </w:trPr>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18</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披露高、中风险供应商审核率及低风险供应商占比X62</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623"/>
        </w:trPr>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19</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披露供应商节能减排信息X63</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r>
        <w:tblPrEx>
          <w:tblW w:w="8522" w:type="dxa"/>
          <w:tblLayout w:type="fixed"/>
          <w:tblCellMar>
            <w:top w:w="0" w:type="dxa"/>
            <w:left w:w="108" w:type="dxa"/>
            <w:bottom w:w="0" w:type="dxa"/>
            <w:right w:w="108" w:type="dxa"/>
          </w:tblCellMar>
          <w:tblLook w:val="0000"/>
        </w:tblPrEx>
        <w:trPr>
          <w:trHeight w:val="623"/>
        </w:trPr>
        <w:tc>
          <w:tcPr>
            <w:tcW w:w="1180" w:type="dxa"/>
            <w:vMerge/>
            <w:vAlign w:val="center"/>
          </w:tcPr>
          <w:p>
            <w:pPr>
              <w:jc w:val="center"/>
              <w:rPr>
                <w:rFonts w:ascii="仿宋_GB2312" w:eastAsia="仿宋_GB2312" w:hAnsi="仿宋_GB2312" w:cs="仿宋_GB2312" w:hint="eastAsia"/>
                <w:snapToGrid w:val="0"/>
                <w:sz w:val="24"/>
              </w:rPr>
            </w:pPr>
          </w:p>
        </w:tc>
        <w:tc>
          <w:tcPr>
            <w:tcW w:w="728"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20</w:t>
            </w:r>
          </w:p>
        </w:tc>
        <w:tc>
          <w:tcPr>
            <w:tcW w:w="3601" w:type="dxa"/>
            <w:vAlign w:val="center"/>
          </w:tcPr>
          <w:p>
            <w:pP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发布企业社会责任报告（含绿色采购信息）X64</w:t>
            </w:r>
          </w:p>
        </w:tc>
        <w:tc>
          <w:tcPr>
            <w:tcW w:w="719"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w:t>
            </w:r>
          </w:p>
        </w:tc>
        <w:tc>
          <w:tcPr>
            <w:tcW w:w="840"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2.5</w:t>
            </w:r>
          </w:p>
        </w:tc>
        <w:tc>
          <w:tcPr>
            <w:tcW w:w="1454" w:type="dxa"/>
            <w:vAlign w:val="center"/>
          </w:tcPr>
          <w:p>
            <w:pPr>
              <w:jc w:val="center"/>
              <w:rPr>
                <w:rFonts w:ascii="仿宋_GB2312" w:eastAsia="仿宋_GB2312" w:hAnsi="仿宋_GB2312" w:cs="仿宋_GB2312" w:hint="eastAsia"/>
                <w:snapToGrid w:val="0"/>
                <w:sz w:val="24"/>
              </w:rPr>
            </w:pPr>
            <w:r>
              <w:rPr>
                <w:rFonts w:ascii="仿宋_GB2312" w:eastAsia="仿宋_GB2312" w:hAnsi="仿宋_GB2312" w:cs="仿宋_GB2312" w:hint="eastAsia"/>
                <w:snapToGrid w:val="0"/>
                <w:sz w:val="24"/>
              </w:rPr>
              <w:t>定性</w:t>
            </w:r>
          </w:p>
        </w:tc>
      </w:tr>
    </w:tbl>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（三）绿色供应链评价指数计算方法</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企业绿色供应链管理指数的计算公式如下。</w:t>
      </w:r>
      <w:r>
        <w:rPr>
          <w:rFonts w:ascii="Times New Roman" w:eastAsia="仿宋_GB2312" w:hAnsi="Times New Roman" w:cs="Times New Roman" w:hint="default"/>
          <w:snapToGrid w:val="0"/>
          <w:position w:val="0"/>
          <w:sz w:val="32"/>
          <w:szCs w:val="3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8.98pt;height:17pt" o:oleicon="f" o:ole="" o:preferrelative="t" filled="f" stroked="f">
            <v:imagedata r:id="rId4" o:title=""/>
            <v:path o:extrusionok="f"/>
            <o:lock v:ext="edit" aspectratio="t"/>
          </v:shape>
          <o:OLEObject Type="Embed" ProgID="Equation.3" ShapeID="对象 1" DrawAspect="Content" ObjectID="_1234567890" r:id="rId5"/>
        </w:objec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2" o:spid="_x0000_i1026" type="#_x0000_t75" style="width:410.26pt;height:44.33pt" o:oleicon="f" o:ole="" o:preferrelative="t" filled="f" stroked="f">
            <v:stroke joinstyle="miter"/>
            <v:imagedata r:id="rId6" o:title=""/>
            <v:path o:extrusionok="f"/>
            <o:lock v:ext="edit" aspectratio="t"/>
          </v:shape>
          <o:OLEObject Type="Embed" ProgID="Equation.3" ShapeID="对象 2" DrawAspect="Content" ObjectID="_1234567891" r:id="rId7"/>
        </w:object>
      </w:r>
      <w:r>
        <w:rPr>
          <w:rFonts w:ascii="Times New Roman" w:eastAsia="仿宋_GB2312" w:hAnsi="Times New Roman" w:cs="Times New Roman" w:hint="default"/>
          <w:snapToGrid w:val="0"/>
          <w:sz w:val="32"/>
          <w:szCs w:val="32"/>
        </w:rPr>
        <w:t>式中</w:t>
      </w:r>
      <w:r>
        <w:rPr>
          <w:rFonts w:ascii="Times New Roman" w:eastAsia="仿宋_GB2312" w:hAnsi="Times New Roman" w:cs="Times New Roman" w:hint="default"/>
          <w:snapToGrid w:val="0"/>
          <w:sz w:val="32"/>
          <w:szCs w:val="32"/>
        </w:rPr>
        <w:pict>
          <v:shape id="对象 2" o:spid="_x0000_s1027" type="#_x0000_t75" style="width:9pt;height:17.25pt;margin-top:0.3pt;margin-left:0;mso-position-horizontal:left;position:absolute;z-index:251658240" o:oleicon="f" o:preferrelative="t" filled="f" stroked="f">
            <v:imagedata r:id="rId4" o:title=""/>
            <v:path o:extrusionok="f"/>
            <o:lock v:ext="edit" aspectratio="t"/>
            <w10:wrap type="square" side="right"/>
          </v:shape>
          <o:OLEObject Type="Embed" ProgID="Equation.3" ShapeID="对象 2" DrawAspect="Content" ObjectID="_1234567892" r:id="rId8"/>
        </w:pict>
      </w:r>
      <w:r>
        <w:rPr>
          <w:rFonts w:ascii="Times New Roman" w:eastAsia="仿宋_GB2312" w:hAnsi="Times New Roman" w:cs="Times New Roman" w:hint="default"/>
          <w:snapToGrid w:val="0"/>
          <w:sz w:val="32"/>
          <w:szCs w:val="32"/>
        </w:rPr>
        <w:t>GSCI为绿色供应链管理指数。</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（四）绿色供应链评价结果</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经评价绿色供应链管理指数大于80分（含等于）的企业，认定为</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卓越绿色供应链管理企业</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，优先享受国家各项支持政策。</w:t>
      </w:r>
    </w:p>
    <w:p>
      <w:pPr>
        <w:ind w:firstLine="474" w:firstLineChars="148"/>
        <w:rPr>
          <w:rFonts w:ascii="Times New Roman" w:eastAsia="楷体_GB2312" w:hAnsi="Times New Roman" w:cs="Times New Roman" w:hint="default"/>
          <w:snapToGrid w:val="0"/>
          <w:sz w:val="32"/>
          <w:szCs w:val="32"/>
        </w:rPr>
      </w:pP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（五）部分指标说明</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1、纳入公司发展规划：有明确的绿色供应链管理中长期发展规划、年度目标、指标、实施方案等文件。</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2、供应商绩效评估制度：建立供应商绩效评估标准，对供应商进行分级评价和管理。</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3、低风险供应商占比的基准值取80%。达到或超过80%得4分，其他分值的计算：比例值/80%*4。</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4、节能减排环保合规：符合国家和地方有关环境法律和法规，近五年无重大安全、环保、质量事故；配备能源、水源监测设备及污染物监测设备（计量仪器符合GB/T17167和GB</w:t>
      </w:r>
      <w:r>
        <w:rPr>
          <w:rFonts w:ascii="Times New Roman" w:eastAsia="仿宋_GB2312" w:hAnsi="Times New Roman" w:cs="Times New Roman" w:hint="default"/>
          <w:snapToGrid w:val="0"/>
          <w:sz w:val="32"/>
          <w:szCs w:val="32"/>
          <w:lang w:val="en-US" w:eastAsia="zh-CN"/>
        </w:rPr>
        <w:t xml:space="preserve"> </w:t>
      </w:r>
      <w:r>
        <w:rPr>
          <w:rFonts w:ascii="Times New Roman" w:eastAsia="仿宋_GB2312" w:hAnsi="Times New Roman" w:cs="Times New Roman" w:hint="default"/>
          <w:snapToGrid w:val="0"/>
          <w:sz w:val="32"/>
          <w:szCs w:val="32"/>
        </w:rPr>
        <w:t>24789）。</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5、产品回收率X41的基准值为90%，达到或超过90%得5分，其他分值的计算：比例值/90%*5。</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6、包装回收率X42的基准值为80%，达到或超过80%得5分，其他分值的计算：比例值/80%*5。</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7、指导下游企业回收拆解：具备回收拆解信息管理系统，实现拆解信息的传递及产品的追溯。</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8、绿色供应链管理信息平台完善：对企业及其供应商产品材质、工艺流程、能源资源消耗、污染物排放等信息进行有效收集与管理。</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9、披露企业节能减排减碳信息：具体包括有毒有害物质使用、能源资源利用效率、污染物排放、碳排放减少量、产品回收利用率等信息。</w:t>
      </w:r>
    </w:p>
    <w:sectPr>
      <w:footerReference w:type="even" r:id="rId9"/>
      <w:footerReference w:type="default" r:id="rId10"/>
      <w:footerReference w:type="first" r:id="rId11"/>
      <w:type w:val="nextPage"/>
      <w:pgSz w:w="11906" w:h="16838"/>
      <w:pgMar w:top="1417" w:right="1587" w:bottom="1417" w:left="1701" w:header="851" w:footer="992" w:gutter="0"/>
      <w:paperSrc w:first="0" w:other="0"/>
      <w:pgNumType w:fmt="decimal"/>
      <w:cols w:space="720"/>
      <w:titlePg/>
      <w:rtlGutter w:val="0"/>
      <w:docGrid w:type="linesAndChars" w:linePitch="636" w:charSpace="20026"/>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86"/>
    <w:family w:val="swiss"/>
    <w:pitch w:val="default"/>
    <w:sig w:usb0="00000000" w:usb1="00000000" w:usb2="00000001" w:usb3="00000000" w:csb0="0000019F" w:csb1="00000000"/>
  </w:font>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outside;mso-position-horizontal-relative:margin;mso-wrap-style:none;position:absolute;v-text-anchor:top;z-index:251658240" filled="f" stroked="f" strokeweight="0.5pt">
          <v:fill o:detectmouseclick="t"/>
          <o:lock v:ext="edit" aspectratio="f"/>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2" o:spid="_x0000_s2050" type="#_x0000_t202" style="width:2in;height:2in;margin-top:0;margin-left:0;mso-position-horizontal:outside;mso-position-horizontal-relative:margin;mso-wrap-style:none;position:absolute;v-text-anchor:top;z-index:251659264" filled="f" stroked="f" strokeweight="0.5pt">
          <v:fill o:detectmouseclick="t"/>
          <o:lock v:ext="edit" aspectratio="f"/>
          <v:textbox style="layout-flow:horizontal;mso-fit-shape-to-text:t" inset="0,0,0,0">
            <w:txbxContent>
              <w:p>
                <w:pPr>
                  <w:pStyle w:val="Footer"/>
                  <w:tabs>
                    <w:tab w:val="center" w:pos="4153"/>
                    <w:tab w:val="right" w:pos="8306"/>
                  </w:tabs>
                  <w:rPr>
                    <w:rFonts w:ascii="Times New Roman" w:hAnsi="Times New Roman" w:cs="Times New Roman" w:hint="default"/>
                    <w:sz w:val="21"/>
                    <w:szCs w:val="21"/>
                  </w:rPr>
                </w:pPr>
                <w:r>
                  <w:rPr>
                    <w:rFonts w:ascii="Times New Roman" w:hAnsi="Times New Roman" w:cs="Times New Roman" w:hint="default"/>
                    <w:sz w:val="21"/>
                    <w:szCs w:val="21"/>
                  </w:rPr>
                  <w:t>—</w:t>
                </w:r>
                <w:r>
                  <w:rPr>
                    <w:rFonts w:ascii="Times New Roman" w:hAnsi="Times New Roman" w:cs="Times New Roman" w:hint="default"/>
                    <w:sz w:val="21"/>
                    <w:szCs w:val="21"/>
                  </w:rPr>
                  <w:t xml:space="preserve"> </w:t>
                </w:r>
                <w:r>
                  <w:rPr>
                    <w:rFonts w:ascii="Times New Roman" w:hAnsi="Times New Roman" w:cs="Times New Roman" w:hint="default"/>
                    <w:sz w:val="21"/>
                    <w:szCs w:val="21"/>
                  </w:rPr>
                  <w:fldChar w:fldCharType="begin"/>
                </w:r>
                <w:r>
                  <w:rPr>
                    <w:rFonts w:ascii="Times New Roman" w:hAnsi="Times New Roman" w:cs="Times New Roman" w:hint="default"/>
                    <w:sz w:val="21"/>
                    <w:szCs w:val="21"/>
                  </w:rPr>
                  <w:instrText xml:space="preserve"> PAGE  \* MERGEFORMAT </w:instrText>
                </w:r>
                <w:r>
                  <w:rPr>
                    <w:rFonts w:ascii="Times New Roman" w:hAnsi="Times New Roman" w:cs="Times New Roman" w:hint="default"/>
                    <w:sz w:val="21"/>
                    <w:szCs w:val="21"/>
                  </w:rPr>
                  <w:fldChar w:fldCharType="separate"/>
                </w:r>
                <w:r>
                  <w:rPr>
                    <w:rFonts w:ascii="Times New Roman" w:hAnsi="Times New Roman" w:cs="Times New Roman" w:hint="default"/>
                    <w:sz w:val="21"/>
                    <w:szCs w:val="21"/>
                  </w:rPr>
                  <w:t>1</w:t>
                </w:r>
                <w:r>
                  <w:rPr>
                    <w:rFonts w:ascii="Times New Roman" w:hAnsi="Times New Roman" w:cs="Times New Roman" w:hint="default"/>
                    <w:sz w:val="21"/>
                    <w:szCs w:val="21"/>
                  </w:rPr>
                  <w:fldChar w:fldCharType="end"/>
                </w:r>
                <w:r>
                  <w:rPr>
                    <w:rFonts w:ascii="Times New Roman" w:hAnsi="Times New Roman" w:cs="Times New Roman" w:hint="default"/>
                    <w:sz w:val="21"/>
                    <w:szCs w:val="21"/>
                  </w:rPr>
                  <w:t xml:space="preserve"> </w:t>
                </w:r>
                <w:r>
                  <w:rPr>
                    <w:rFonts w:ascii="Times New Roman" w:hAnsi="Times New Roman" w:cs="Times New Roman" w:hint="default"/>
                    <w:sz w:val="21"/>
                    <w:szCs w:val="21"/>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revisionView w:comments="1" w:formatting="1" w:inkAnnotations="1" w:insDel="1" w:markup="0"/>
  <w:trackRevisions/>
  <w:defaultTabStop w:val="420"/>
  <w:drawingGridHorizontalSpacing w:val="154"/>
  <w:drawingGridVerticalSpacing w:val="318"/>
  <w:displayHorizontalDrawingGridEvery w:val="2"/>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448C"/>
    <w:rsid w:val="D7FF12E8"/>
    <w:rsid w:val="DFDB5772"/>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393E69AE"/>
    <w:rsid w:val="3CAC3D3C"/>
    <w:rsid w:val="47507EDF"/>
    <w:rsid w:val="5DE673C6"/>
    <w:rsid w:val="602227CA"/>
    <w:rsid w:val="6BC72F84"/>
    <w:rsid w:val="6DC07208"/>
    <w:rsid w:val="72820265"/>
    <w:rsid w:val="7BEFB4D9"/>
    <w:rsid w:val="7C287503"/>
    <w:rsid w:val="7DBD6E37"/>
    <w:rsid w:val="7EFE5B7E"/>
  </w:rsids>
  <w:docVars>
    <w:docVar w:name="commondata" w:val="eyJoZGlkIjoiNzU1NmFkYjM2ZjVlNjlhYTExODFlMTExZDY5YzQ0N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qFormat="1"/>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Calibri"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link w:val="Char"/>
    <w:qFormat/>
    <w:pPr>
      <w:jc w:val="left"/>
    </w:pPr>
  </w:style>
  <w:style w:type="character" w:customStyle="1" w:styleId="Char">
    <w:name w:val="批注文字 Char"/>
    <w:link w:val="CommentText"/>
    <w:qFormat/>
    <w:rPr>
      <w:kern w:val="2"/>
      <w:sz w:val="21"/>
      <w:szCs w:val="24"/>
    </w:rPr>
  </w:style>
  <w:style w:type="paragraph" w:styleId="BalloonText">
    <w:name w:val="Balloon Text"/>
    <w:basedOn w:val="Normal"/>
    <w:link w:val="Char0"/>
    <w:qFormat/>
    <w:rPr>
      <w:sz w:val="18"/>
      <w:szCs w:val="18"/>
    </w:rPr>
  </w:style>
  <w:style w:type="character" w:customStyle="1" w:styleId="Char0">
    <w:name w:val="批注框文本 Char"/>
    <w:link w:val="BalloonText"/>
    <w:qFormat/>
    <w:rPr>
      <w:kern w:val="2"/>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CommentSubject">
    <w:name w:val="annotation subject"/>
    <w:basedOn w:val="CommentText"/>
    <w:next w:val="CommentText"/>
    <w:link w:val="Char1"/>
    <w:qFormat/>
    <w:rPr>
      <w:b/>
      <w:bCs/>
    </w:rPr>
  </w:style>
  <w:style w:type="character" w:customStyle="1" w:styleId="Char1">
    <w:name w:val="批注主题 Char"/>
    <w:link w:val="CommentSubject"/>
    <w:qFormat/>
    <w:rPr>
      <w:b/>
      <w:bCs/>
      <w:kern w:val="2"/>
      <w:sz w:val="21"/>
      <w:szCs w:val="24"/>
    </w:rPr>
  </w:style>
  <w:style w:type="character" w:styleId="PageNumber">
    <w:name w:val="page number"/>
    <w:basedOn w:val="DefaultParagraphFont"/>
    <w:qFormat/>
  </w:style>
  <w:style w:type="character" w:styleId="CommentReference">
    <w:name w:val="annotation reference"/>
    <w:qFormat/>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oleObject" Target="embeddings/oleObject3.bin"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157260960</TotalTime>
  <Pages>7</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wangxu</dc:creator>
  <cp:lastModifiedBy>gxxc</cp:lastModifiedBy>
  <cp:revision>3</cp:revision>
  <cp:lastPrinted>2023-06-30T06:22:00Z</cp:lastPrinted>
  <dcterms:created xsi:type="dcterms:W3CDTF">2016-06-19T01:43:00Z</dcterms:created>
  <dcterms:modified xsi:type="dcterms:W3CDTF">2025-03-17T16:01:07Z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16E25A995D3F4F47941F8B5F72ECC9DE_12</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0MjE5MjI4NywiY29ycElkIjoiIiwiaXNzIjoiRVhPQSIsIm5hbWUiOiLmnY7pm6jnj4IiLCJleHAiOjIwNTc1NTU4ODcsImlhdCI6MTc0MjE5NTI4NywidXNlcklkIjoxMzc0MywianRpIjoib2EiLCJhY2NvdW50IjoibGl5ayJ9.GeBvniPLE680mKFcd73vQf7SFHWZ93rx9V3GOtAWL7s</vt:lpwstr>
  </property>
</Properties>
</file>