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68" w:beforeLines="150" w:after="468" w:afterLines="150"/>
        <w:jc w:val="left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</w:p>
    <w:p>
      <w:pPr>
        <w:spacing w:before="468" w:beforeLines="150" w:after="468" w:afterLines="150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柳州市汽车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零部件企业钢材采购补贴申请表</w:t>
      </w:r>
    </w:p>
    <w:tbl>
      <w:tblPr>
        <w:tblStyle w:val="2"/>
        <w:tblW w:w="9713" w:type="dxa"/>
        <w:tblInd w:w="-3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8"/>
        <w:gridCol w:w="2166"/>
        <w:gridCol w:w="2026"/>
        <w:gridCol w:w="1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354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企业全称（盖章）</w:t>
            </w:r>
          </w:p>
        </w:tc>
        <w:tc>
          <w:tcPr>
            <w:tcW w:w="6165" w:type="dxa"/>
            <w:gridSpan w:val="3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354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社会统一信用代码</w:t>
            </w:r>
          </w:p>
        </w:tc>
        <w:tc>
          <w:tcPr>
            <w:tcW w:w="6165" w:type="dxa"/>
            <w:gridSpan w:val="3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354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企业地址</w:t>
            </w:r>
          </w:p>
        </w:tc>
        <w:tc>
          <w:tcPr>
            <w:tcW w:w="6165" w:type="dxa"/>
            <w:gridSpan w:val="3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354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联系人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联系手机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354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企业申报补贴钢材采购量</w:t>
            </w:r>
            <w:r>
              <w:rPr>
                <w:rFonts w:hint="eastAsia" w:ascii="仿宋_GB2312" w:hAnsi="仿宋_GB2312" w:eastAsia="仿宋_GB2312" w:cs="仿宋_GB2312"/>
                <w:kern w:val="0"/>
                <w:lang w:eastAsia="zh-CN"/>
              </w:rPr>
              <w:t>（吨）</w:t>
            </w:r>
          </w:p>
        </w:tc>
        <w:tc>
          <w:tcPr>
            <w:tcW w:w="2166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20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其中：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2017年</w:t>
            </w:r>
          </w:p>
        </w:tc>
        <w:tc>
          <w:tcPr>
            <w:tcW w:w="197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354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2166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202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2018年</w:t>
            </w:r>
          </w:p>
        </w:tc>
        <w:tc>
          <w:tcPr>
            <w:tcW w:w="1973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354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企业年度钢材采购总额（万元）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主要产品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4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2017年主营业务收入</w:t>
            </w:r>
            <w:r>
              <w:rPr>
                <w:rFonts w:hint="eastAsia" w:ascii="仿宋_GB2312" w:hAnsi="仿宋_GB2312" w:eastAsia="仿宋_GB2312" w:cs="仿宋_GB2312"/>
                <w:kern w:val="0"/>
                <w:lang w:eastAsia="zh-CN"/>
              </w:rPr>
              <w:t>（万元）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20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2018年主营业务收入</w:t>
            </w:r>
            <w:r>
              <w:rPr>
                <w:rFonts w:hint="eastAsia" w:ascii="仿宋_GB2312" w:hAnsi="仿宋_GB2312" w:eastAsia="仿宋_GB2312" w:cs="仿宋_GB2312"/>
                <w:kern w:val="0"/>
                <w:lang w:eastAsia="zh-CN"/>
              </w:rPr>
              <w:t>（万元）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354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企业开户行</w:t>
            </w:r>
          </w:p>
        </w:tc>
        <w:tc>
          <w:tcPr>
            <w:tcW w:w="6165" w:type="dxa"/>
            <w:gridSpan w:val="3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354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开户账号</w:t>
            </w:r>
          </w:p>
        </w:tc>
        <w:tc>
          <w:tcPr>
            <w:tcW w:w="6165" w:type="dxa"/>
            <w:gridSpan w:val="3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</w:trPr>
        <w:tc>
          <w:tcPr>
            <w:tcW w:w="354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企业所属辖区工信主管部门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审核意见</w:t>
            </w:r>
          </w:p>
        </w:tc>
        <w:tc>
          <w:tcPr>
            <w:tcW w:w="6165" w:type="dxa"/>
            <w:gridSpan w:val="3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                                     公章</w:t>
            </w:r>
          </w:p>
          <w:p>
            <w:pPr>
              <w:widowControl/>
              <w:ind w:left="360"/>
              <w:jc w:val="right"/>
              <w:rPr>
                <w:rFonts w:hint="eastAsia"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年     月     日</w:t>
            </w:r>
          </w:p>
        </w:tc>
      </w:tr>
    </w:tbl>
    <w:p/>
    <w:sectPr>
      <w:pgSz w:w="11906" w:h="16838"/>
      <w:pgMar w:top="7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1B8E59-790F-4CA5-B877-67A81A57BF5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2C4BB447-3CD1-4AA2-A860-DFF1DCD30B5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348D31A-F173-4D3C-91B4-DFF7BBFF96D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CF73C01-A25E-44EE-AC4C-5F619445B4B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7C4BC1"/>
    <w:rsid w:val="1043585D"/>
    <w:rsid w:val="25E21830"/>
    <w:rsid w:val="5E7C4BC1"/>
    <w:rsid w:val="6448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2019-05-08T06:44:00Z</dcterms:created>
  <dc:creator>柳望曦</dc:creator>
  <cp:lastModifiedBy>柳望曦</cp:lastModifiedBy>
  <cp:lastPrinted>2019-05-13T01:32:56Z</cp:lastPrinted>
  <dcterms:modified xsi:type="dcterms:W3CDTF">2019-05-13T01:35:34Z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