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jc w:val="left"/>
        <w:rPr>
          <w:rFonts w:ascii="黑体" w:eastAsia="黑体" w:hAnsi="黑体" w:cs="黑体" w:hint="eastAsia"/>
          <w:snapToGrid w:val="0"/>
          <w:sz w:val="32"/>
          <w:szCs w:val="32"/>
          <w:lang w:val="en-US" w:eastAsia="zh-CN"/>
        </w:rPr>
      </w:pPr>
      <w:r>
        <w:rPr>
          <w:rFonts w:ascii="黑体" w:eastAsia="黑体" w:hAnsi="黑体" w:cs="黑体" w:hint="eastAsia"/>
          <w:snapToGrid w:val="0"/>
          <w:sz w:val="32"/>
          <w:szCs w:val="32"/>
        </w:rPr>
        <w:t>附件</w:t>
      </w:r>
      <w:r>
        <w:rPr>
          <w:rFonts w:ascii="黑体" w:eastAsia="黑体" w:hAnsi="黑体" w:cs="黑体" w:hint="eastAsia"/>
          <w:snapToGrid w:val="0"/>
          <w:sz w:val="32"/>
          <w:szCs w:val="32"/>
          <w:lang w:val="en-US" w:eastAsia="zh-CN"/>
        </w:rPr>
        <w:t>3</w:t>
      </w:r>
    </w:p>
    <w:p>
      <w:pPr>
        <w:jc w:val="left"/>
        <w:rPr>
          <w:rFonts w:ascii="Times New Roman" w:eastAsia="黑体" w:hAnsi="Times New Roman" w:cs="Times New Roman" w:hint="eastAsia"/>
          <w:snapToGrid w:val="0"/>
          <w:sz w:val="32"/>
          <w:szCs w:val="32"/>
          <w:lang w:val="en-US" w:eastAsia="zh-CN"/>
        </w:rPr>
      </w:pPr>
    </w:p>
    <w:p>
      <w:pPr>
        <w:spacing w:line="720" w:lineRule="exact"/>
        <w:jc w:val="center"/>
        <w:rPr>
          <w:rFonts w:ascii="Times New Roman" w:eastAsia="方正小标宋简体" w:hAnsi="Times New Roman" w:cs="Times New Roman" w:hint="default"/>
          <w:bCs/>
          <w:snapToGrid w:val="0"/>
          <w:sz w:val="44"/>
          <w:szCs w:val="44"/>
        </w:rPr>
      </w:pPr>
      <w:r>
        <w:rPr>
          <w:rFonts w:ascii="Times New Roman" w:eastAsia="方正小标宋简体" w:hAnsi="Times New Roman" w:cs="Times New Roman" w:hint="default"/>
          <w:bCs/>
          <w:snapToGrid w:val="0"/>
          <w:sz w:val="44"/>
          <w:szCs w:val="44"/>
        </w:rPr>
        <w:t>绿色</w:t>
      </w:r>
      <w:r>
        <w:rPr>
          <w:rFonts w:ascii="Times New Roman" w:eastAsia="方正小标宋简体" w:hAnsi="Times New Roman" w:cs="Times New Roman" w:hint="default"/>
          <w:bCs/>
          <w:snapToGrid w:val="0"/>
          <w:sz w:val="44"/>
          <w:szCs w:val="44"/>
          <w:lang w:val="en"/>
        </w:rPr>
        <w:t>工业</w:t>
      </w:r>
      <w:r>
        <w:rPr>
          <w:rFonts w:ascii="Times New Roman" w:eastAsia="方正小标宋简体" w:hAnsi="Times New Roman" w:cs="Times New Roman" w:hint="default"/>
          <w:bCs/>
          <w:snapToGrid w:val="0"/>
          <w:sz w:val="44"/>
          <w:szCs w:val="44"/>
        </w:rPr>
        <w:t>园区评价要求</w:t>
      </w:r>
    </w:p>
    <w:p>
      <w:pPr>
        <w:ind w:firstLine="640" w:firstLineChars="200"/>
        <w:rPr>
          <w:rFonts w:ascii="Times New Roman" w:eastAsia="仿宋_GB2312" w:hAnsi="Times New Roman" w:cs="Times New Roman" w:hint="default"/>
          <w:b/>
          <w:snapToGrid w:val="0"/>
          <w:sz w:val="32"/>
          <w:szCs w:val="32"/>
        </w:rPr>
      </w:pPr>
    </w:p>
    <w:p>
      <w:pPr>
        <w:ind w:firstLine="474" w:firstLineChars="148"/>
        <w:rPr>
          <w:rFonts w:ascii="Times New Roman" w:eastAsia="黑体" w:hAnsi="Times New Roman" w:cs="Times New Roman" w:hint="default"/>
          <w:bCs/>
          <w:snapToGrid w:val="0"/>
          <w:sz w:val="32"/>
          <w:szCs w:val="32"/>
        </w:rPr>
      </w:pPr>
      <w:r>
        <w:rPr>
          <w:rFonts w:ascii="Times New Roman" w:eastAsia="黑体" w:hAnsi="Times New Roman" w:cs="Times New Roman" w:hint="default"/>
          <w:bCs/>
          <w:snapToGrid w:val="0"/>
          <w:sz w:val="32"/>
          <w:szCs w:val="32"/>
        </w:rPr>
        <w:t>一、总则</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（一）基本要求</w:t>
      </w:r>
    </w:p>
    <w:p>
      <w:pPr>
        <w:ind w:firstLine="474" w:firstLineChars="148"/>
        <w:rPr>
          <w:rFonts w:ascii="仿宋_GB2312" w:eastAsia="仿宋_GB2312" w:hAnsi="仿宋_GB2312" w:cs="仿宋_GB2312" w:hint="eastAsia"/>
          <w:snapToGrid w:val="0"/>
          <w:sz w:val="32"/>
          <w:szCs w:val="32"/>
        </w:rPr>
      </w:pPr>
      <w:r>
        <w:rPr>
          <w:rFonts w:ascii="仿宋_GB2312" w:eastAsia="仿宋_GB2312" w:hAnsi="仿宋_GB2312" w:cs="仿宋_GB2312" w:hint="eastAsia"/>
          <w:snapToGrid w:val="0"/>
          <w:sz w:val="32"/>
          <w:szCs w:val="32"/>
        </w:rPr>
        <w:t xml:space="preserve">1.国家和地方绿色、循环和低碳相关法律法规、政策和标准应得到有效的贯彻执行。 </w:t>
      </w:r>
    </w:p>
    <w:p>
      <w:pPr>
        <w:ind w:firstLine="474" w:firstLineChars="148"/>
        <w:rPr>
          <w:rFonts w:ascii="仿宋_GB2312" w:eastAsia="仿宋_GB2312" w:hAnsi="仿宋_GB2312" w:cs="仿宋_GB2312" w:hint="eastAsia"/>
          <w:snapToGrid w:val="0"/>
          <w:sz w:val="32"/>
          <w:szCs w:val="32"/>
        </w:rPr>
      </w:pPr>
      <w:r>
        <w:rPr>
          <w:rFonts w:ascii="仿宋_GB2312" w:eastAsia="仿宋_GB2312" w:hAnsi="仿宋_GB2312" w:cs="仿宋_GB2312" w:hint="eastAsia"/>
          <w:snapToGrid w:val="0"/>
          <w:sz w:val="32"/>
          <w:szCs w:val="32"/>
        </w:rPr>
        <w:t>2.近三年，未发生重大污染事故或重大生态破坏事件，完成国家或地方政府下达的节能减排指标，碳排放强度持续下降。</w:t>
      </w:r>
    </w:p>
    <w:p>
      <w:pPr>
        <w:ind w:firstLine="474" w:firstLineChars="148"/>
        <w:rPr>
          <w:rFonts w:ascii="仿宋_GB2312" w:eastAsia="仿宋_GB2312" w:hAnsi="仿宋_GB2312" w:cs="仿宋_GB2312" w:hint="eastAsia"/>
          <w:snapToGrid w:val="0"/>
          <w:sz w:val="32"/>
          <w:szCs w:val="32"/>
        </w:rPr>
      </w:pPr>
      <w:r>
        <w:rPr>
          <w:rFonts w:ascii="仿宋_GB2312" w:eastAsia="仿宋_GB2312" w:hAnsi="仿宋_GB2312" w:cs="仿宋_GB2312" w:hint="eastAsia"/>
          <w:snapToGrid w:val="0"/>
          <w:sz w:val="32"/>
          <w:szCs w:val="32"/>
        </w:rPr>
        <w:t>3.环境质量达到国家或地方规定的环境功能区环境质量标准，园区内企业污染物达标排放，各类重点污染物排放总量均不超过国家或地方的总量控制要求。</w:t>
      </w:r>
    </w:p>
    <w:p>
      <w:pPr>
        <w:ind w:firstLine="474" w:firstLineChars="148"/>
        <w:rPr>
          <w:rFonts w:ascii="仿宋_GB2312" w:eastAsia="仿宋_GB2312" w:hAnsi="仿宋_GB2312" w:cs="仿宋_GB2312" w:hint="eastAsia"/>
          <w:snapToGrid w:val="0"/>
          <w:sz w:val="32"/>
          <w:szCs w:val="32"/>
        </w:rPr>
      </w:pPr>
      <w:r>
        <w:rPr>
          <w:rFonts w:ascii="仿宋_GB2312" w:eastAsia="仿宋_GB2312" w:hAnsi="仿宋_GB2312" w:cs="仿宋_GB2312" w:hint="eastAsia"/>
          <w:snapToGrid w:val="0"/>
          <w:sz w:val="32"/>
          <w:szCs w:val="32"/>
        </w:rPr>
        <w:t>4.园区重点企业100%实施清洁生产审核。</w:t>
      </w:r>
    </w:p>
    <w:p>
      <w:pPr>
        <w:ind w:firstLine="474" w:firstLineChars="148"/>
        <w:rPr>
          <w:rFonts w:ascii="仿宋_GB2312" w:eastAsia="仿宋_GB2312" w:hAnsi="仿宋_GB2312" w:cs="仿宋_GB2312" w:hint="eastAsia"/>
          <w:snapToGrid w:val="0"/>
          <w:sz w:val="32"/>
          <w:szCs w:val="32"/>
        </w:rPr>
      </w:pPr>
      <w:r>
        <w:rPr>
          <w:rFonts w:ascii="仿宋_GB2312" w:eastAsia="仿宋_GB2312" w:hAnsi="仿宋_GB2312" w:cs="仿宋_GB2312" w:hint="eastAsia"/>
          <w:snapToGrid w:val="0"/>
          <w:sz w:val="32"/>
          <w:szCs w:val="32"/>
        </w:rPr>
        <w:t>注：重点企业是指《清洁生产促进法》中规定的应当实施强制性清洁生产 审核的企业（评审期当年及之前公布的重点企业清洁生产审核名单中的企业）。</w:t>
      </w:r>
    </w:p>
    <w:p>
      <w:pPr>
        <w:ind w:firstLine="474" w:firstLineChars="148"/>
        <w:rPr>
          <w:rFonts w:ascii="仿宋_GB2312" w:eastAsia="仿宋_GB2312" w:hAnsi="仿宋_GB2312" w:cs="仿宋_GB2312" w:hint="eastAsia"/>
          <w:snapToGrid w:val="0"/>
          <w:sz w:val="32"/>
          <w:szCs w:val="32"/>
        </w:rPr>
      </w:pPr>
      <w:r>
        <w:rPr>
          <w:rFonts w:ascii="仿宋_GB2312" w:eastAsia="仿宋_GB2312" w:hAnsi="仿宋_GB2312" w:cs="仿宋_GB2312" w:hint="eastAsia"/>
          <w:snapToGrid w:val="0"/>
          <w:sz w:val="32"/>
          <w:szCs w:val="32"/>
        </w:rPr>
        <w:t>5.园区企业不应使用国家列入淘汰目录的落后生产技术、工艺和设备，不应生产国家列入淘汰目录的产品。</w:t>
      </w:r>
    </w:p>
    <w:p>
      <w:pPr>
        <w:ind w:firstLine="474" w:firstLineChars="148"/>
        <w:rPr>
          <w:rFonts w:ascii="仿宋_GB2312" w:eastAsia="仿宋_GB2312" w:hAnsi="仿宋_GB2312" w:cs="仿宋_GB2312" w:hint="eastAsia"/>
          <w:snapToGrid w:val="0"/>
          <w:sz w:val="32"/>
          <w:szCs w:val="32"/>
        </w:rPr>
      </w:pPr>
      <w:r>
        <w:rPr>
          <w:rFonts w:ascii="仿宋_GB2312" w:eastAsia="仿宋_GB2312" w:hAnsi="仿宋_GB2312" w:cs="仿宋_GB2312" w:hint="eastAsia"/>
          <w:snapToGrid w:val="0"/>
          <w:sz w:val="32"/>
          <w:szCs w:val="32"/>
        </w:rPr>
        <w:t>6.园区建立履行绿色发展工作职责的专门机构、配备2名以上专职工作人员。</w:t>
      </w:r>
    </w:p>
    <w:p>
      <w:pPr>
        <w:ind w:firstLine="474" w:firstLineChars="148"/>
        <w:rPr>
          <w:rFonts w:ascii="Times New Roman" w:eastAsia="仿宋_GB2312" w:hAnsi="Times New Roman" w:cs="Times New Roman" w:hint="default"/>
          <w:snapToGrid w:val="0"/>
          <w:sz w:val="32"/>
          <w:szCs w:val="32"/>
        </w:rPr>
      </w:pPr>
      <w:r>
        <w:rPr>
          <w:rFonts w:ascii="仿宋_GB2312" w:eastAsia="仿宋_GB2312" w:hAnsi="仿宋_GB2312" w:cs="仿宋_GB2312" w:hint="eastAsia"/>
          <w:snapToGrid w:val="0"/>
          <w:sz w:val="32"/>
          <w:szCs w:val="32"/>
        </w:rPr>
        <w:t>7.鼓励园区建立并运行环境管理体系和能源管理体系，建</w:t>
      </w:r>
      <w:r>
        <w:rPr>
          <w:rFonts w:ascii="Times New Roman" w:eastAsia="仿宋_GB2312" w:hAnsi="Times New Roman" w:cs="Times New Roman" w:hint="default"/>
          <w:snapToGrid w:val="0"/>
          <w:sz w:val="32"/>
          <w:szCs w:val="32"/>
        </w:rPr>
        <w:t>立园区能源监测管理平台。</w:t>
      </w:r>
    </w:p>
    <w:p>
      <w:pPr>
        <w:ind w:left="0" w:firstLine="474" w:leftChars="0" w:firstLineChars="148"/>
        <w:rPr>
          <w:rFonts w:ascii="仿宋_GB2312" w:eastAsia="仿宋_GB2312" w:hAnsi="仿宋_GB2312" w:cs="仿宋_GB2312" w:hint="eastAsia"/>
          <w:snapToGrid w:val="0"/>
          <w:sz w:val="32"/>
          <w:szCs w:val="32"/>
        </w:rPr>
      </w:pPr>
      <w:r>
        <w:rPr>
          <w:rFonts w:ascii="仿宋_GB2312" w:eastAsia="仿宋_GB2312" w:hAnsi="仿宋_GB2312" w:cs="仿宋_GB2312" w:hint="eastAsia"/>
          <w:snapToGrid w:val="0"/>
          <w:sz w:val="32"/>
          <w:szCs w:val="32"/>
        </w:rPr>
        <w:t>8.鼓励园区建设并运行风能、太阳能等可再生能源应用</w:t>
      </w:r>
      <w:r>
        <w:rPr>
          <w:rFonts w:ascii="仿宋_GB2312" w:eastAsia="仿宋_GB2312" w:hAnsi="仿宋_GB2312" w:cs="仿宋_GB2312" w:hint="eastAsia"/>
          <w:snapToGrid w:val="0"/>
          <w:sz w:val="32"/>
          <w:szCs w:val="32"/>
        </w:rPr>
        <w:t>设施。</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（二）评价指标构成</w:t>
      </w:r>
    </w:p>
    <w:p>
      <w:pPr>
        <w:ind w:firstLine="474" w:firstLineChars="148"/>
        <w:rPr>
          <w:rFonts w:ascii="仿宋_GB2312" w:eastAsia="仿宋_GB2312" w:hAnsi="仿宋_GB2312" w:cs="仿宋_GB2312" w:hint="eastAsia"/>
          <w:snapToGrid w:val="0"/>
          <w:sz w:val="32"/>
          <w:szCs w:val="32"/>
        </w:rPr>
      </w:pPr>
      <w:r>
        <w:rPr>
          <w:rFonts w:ascii="仿宋_GB2312" w:eastAsia="仿宋_GB2312" w:hAnsi="仿宋_GB2312" w:cs="仿宋_GB2312" w:hint="eastAsia"/>
          <w:snapToGrid w:val="0"/>
          <w:sz w:val="32"/>
          <w:szCs w:val="32"/>
        </w:rPr>
        <w:t>绿色园区评价指标体系包括能源利用绿色</w:t>
      </w:r>
      <w:r>
        <w:rPr>
          <w:rFonts w:ascii="仿宋_GB2312" w:eastAsia="仿宋_GB2312" w:hAnsi="仿宋_GB2312" w:cs="仿宋_GB2312" w:hint="eastAsia"/>
          <w:snapToGrid w:val="0"/>
          <w:sz w:val="32"/>
          <w:szCs w:val="32"/>
          <w:lang w:val="en-US" w:eastAsia="zh-CN"/>
        </w:rPr>
        <w:t>化</w:t>
      </w:r>
      <w:r>
        <w:rPr>
          <w:rFonts w:ascii="仿宋_GB2312" w:eastAsia="仿宋_GB2312" w:hAnsi="仿宋_GB2312" w:cs="仿宋_GB2312" w:hint="eastAsia"/>
          <w:snapToGrid w:val="0"/>
          <w:sz w:val="32"/>
          <w:szCs w:val="32"/>
        </w:rPr>
        <w:t>指标、资源利用绿色</w:t>
      </w:r>
      <w:r>
        <w:rPr>
          <w:rFonts w:ascii="仿宋_GB2312" w:eastAsia="仿宋_GB2312" w:hAnsi="仿宋_GB2312" w:cs="仿宋_GB2312" w:hint="eastAsia"/>
          <w:snapToGrid w:val="0"/>
          <w:sz w:val="32"/>
          <w:szCs w:val="32"/>
          <w:lang w:val="en-US" w:eastAsia="zh-CN"/>
        </w:rPr>
        <w:t>化</w:t>
      </w:r>
      <w:r>
        <w:rPr>
          <w:rFonts w:ascii="仿宋_GB2312" w:eastAsia="仿宋_GB2312" w:hAnsi="仿宋_GB2312" w:cs="仿宋_GB2312" w:hint="eastAsia"/>
          <w:snapToGrid w:val="0"/>
          <w:sz w:val="32"/>
          <w:szCs w:val="32"/>
        </w:rPr>
        <w:t>指标、基础设施绿色</w:t>
      </w:r>
      <w:r>
        <w:rPr>
          <w:rFonts w:ascii="仿宋_GB2312" w:eastAsia="仿宋_GB2312" w:hAnsi="仿宋_GB2312" w:cs="仿宋_GB2312" w:hint="eastAsia"/>
          <w:snapToGrid w:val="0"/>
          <w:sz w:val="32"/>
          <w:szCs w:val="32"/>
          <w:lang w:val="en-US" w:eastAsia="zh-CN"/>
        </w:rPr>
        <w:t>化</w:t>
      </w:r>
      <w:r>
        <w:rPr>
          <w:rFonts w:ascii="仿宋_GB2312" w:eastAsia="仿宋_GB2312" w:hAnsi="仿宋_GB2312" w:cs="仿宋_GB2312" w:hint="eastAsia"/>
          <w:snapToGrid w:val="0"/>
          <w:sz w:val="32"/>
          <w:szCs w:val="32"/>
        </w:rPr>
        <w:t>指标、产业绿色</w:t>
      </w:r>
      <w:r>
        <w:rPr>
          <w:rFonts w:ascii="仿宋_GB2312" w:eastAsia="仿宋_GB2312" w:hAnsi="仿宋_GB2312" w:cs="仿宋_GB2312" w:hint="eastAsia"/>
          <w:snapToGrid w:val="0"/>
          <w:sz w:val="32"/>
          <w:szCs w:val="32"/>
          <w:lang w:val="en-US" w:eastAsia="zh-CN"/>
        </w:rPr>
        <w:t>化</w:t>
      </w:r>
      <w:r>
        <w:rPr>
          <w:rFonts w:ascii="仿宋_GB2312" w:eastAsia="仿宋_GB2312" w:hAnsi="仿宋_GB2312" w:cs="仿宋_GB2312" w:hint="eastAsia"/>
          <w:snapToGrid w:val="0"/>
          <w:sz w:val="32"/>
          <w:szCs w:val="32"/>
        </w:rPr>
        <w:t>指标、生态环境绿色</w:t>
      </w:r>
      <w:r>
        <w:rPr>
          <w:rFonts w:ascii="仿宋_GB2312" w:eastAsia="仿宋_GB2312" w:hAnsi="仿宋_GB2312" w:cs="仿宋_GB2312" w:hint="eastAsia"/>
          <w:snapToGrid w:val="0"/>
          <w:sz w:val="32"/>
          <w:szCs w:val="32"/>
          <w:lang w:val="en-US" w:eastAsia="zh-CN"/>
        </w:rPr>
        <w:t>化</w:t>
      </w:r>
      <w:r>
        <w:rPr>
          <w:rFonts w:ascii="仿宋_GB2312" w:eastAsia="仿宋_GB2312" w:hAnsi="仿宋_GB2312" w:cs="仿宋_GB2312" w:hint="eastAsia"/>
          <w:snapToGrid w:val="0"/>
          <w:sz w:val="32"/>
          <w:szCs w:val="32"/>
        </w:rPr>
        <w:t>指标、运行管理绿色</w:t>
      </w:r>
      <w:r>
        <w:rPr>
          <w:rFonts w:ascii="仿宋_GB2312" w:eastAsia="仿宋_GB2312" w:hAnsi="仿宋_GB2312" w:cs="仿宋_GB2312" w:hint="eastAsia"/>
          <w:snapToGrid w:val="0"/>
          <w:sz w:val="32"/>
          <w:szCs w:val="32"/>
          <w:lang w:val="en-US" w:eastAsia="zh-CN"/>
        </w:rPr>
        <w:t>化</w:t>
      </w:r>
      <w:r>
        <w:rPr>
          <w:rFonts w:ascii="仿宋_GB2312" w:eastAsia="仿宋_GB2312" w:hAnsi="仿宋_GB2312" w:cs="仿宋_GB2312" w:hint="eastAsia"/>
          <w:snapToGrid w:val="0"/>
          <w:sz w:val="32"/>
          <w:szCs w:val="32"/>
        </w:rPr>
        <w:t>指标6个</w:t>
      </w:r>
      <w:r>
        <w:rPr>
          <w:rFonts w:ascii="仿宋_GB2312" w:eastAsia="仿宋_GB2312" w:hAnsi="仿宋_GB2312" w:cs="仿宋_GB2312" w:hint="eastAsia"/>
          <w:snapToGrid w:val="0"/>
          <w:sz w:val="32"/>
          <w:szCs w:val="32"/>
        </w:rPr>
        <w:t>方面。</w:t>
      </w:r>
      <w:r>
        <w:rPr>
          <w:rFonts w:ascii="仿宋_GB2312" w:eastAsia="仿宋_GB2312" w:hAnsi="仿宋_GB2312" w:cs="仿宋_GB2312" w:hint="eastAsia"/>
          <w:snapToGrid w:val="0"/>
          <w:sz w:val="32"/>
          <w:szCs w:val="32"/>
          <w:lang w:val="en-US" w:eastAsia="zh-CN"/>
        </w:rPr>
        <w:t>具体</w:t>
      </w:r>
      <w:r>
        <w:rPr>
          <w:rFonts w:ascii="仿宋_GB2312" w:eastAsia="仿宋_GB2312" w:hAnsi="仿宋_GB2312" w:cs="仿宋_GB2312" w:hint="eastAsia"/>
          <w:snapToGrid w:val="0"/>
          <w:sz w:val="32"/>
          <w:szCs w:val="32"/>
        </w:rPr>
        <w:t>如附表1所示。</w:t>
      </w:r>
    </w:p>
    <w:p>
      <w:pPr>
        <w:ind w:firstLine="630"/>
        <w:jc w:val="center"/>
        <w:rPr>
          <w:rFonts w:ascii="Times New Roman" w:eastAsia="黑体" w:hAnsi="Times New Roman" w:cs="Times New Roman" w:hint="default"/>
          <w:snapToGrid w:val="0"/>
          <w:sz w:val="28"/>
          <w:szCs w:val="28"/>
        </w:rPr>
      </w:pPr>
      <w:r>
        <w:rPr>
          <w:rFonts w:ascii="Times New Roman" w:eastAsia="黑体" w:hAnsi="Times New Roman" w:cs="Times New Roman" w:hint="default"/>
          <w:snapToGrid w:val="0"/>
          <w:sz w:val="28"/>
          <w:szCs w:val="28"/>
        </w:rPr>
        <w:t>附表1 绿色园区评价指标体系</w:t>
      </w:r>
    </w:p>
    <w:tbl>
      <w:tblPr>
        <w:tblStyle w:val="TableGrid"/>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604"/>
        <w:gridCol w:w="800"/>
        <w:gridCol w:w="2550"/>
        <w:gridCol w:w="1300"/>
        <w:gridCol w:w="1044"/>
        <w:gridCol w:w="1058"/>
      </w:tblGrid>
      <w:tr>
        <w:tblPrEx>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312"/>
          <w:tblHeader/>
          <w:jc w:val="center"/>
        </w:trPr>
        <w:tc>
          <w:tcPr>
            <w:tcW w:w="1604" w:type="dxa"/>
            <w:vAlign w:val="center"/>
          </w:tcPr>
          <w:p>
            <w:pPr>
              <w:adjustRightInd/>
              <w:snapToGrid/>
              <w:jc w:val="center"/>
              <w:rPr>
                <w:rFonts w:ascii="仿宋_GB2312" w:eastAsia="仿宋_GB2312" w:hAnsi="仿宋_GB2312" w:cs="仿宋_GB2312" w:hint="eastAsia"/>
                <w:b w:val="0"/>
                <w:bCs/>
                <w:snapToGrid w:val="0"/>
                <w:kern w:val="0"/>
                <w:sz w:val="28"/>
                <w:szCs w:val="28"/>
              </w:rPr>
            </w:pPr>
            <w:r>
              <w:rPr>
                <w:rFonts w:ascii="仿宋_GB2312" w:eastAsia="仿宋_GB2312" w:hAnsi="仿宋_GB2312" w:cs="仿宋_GB2312" w:hint="eastAsia"/>
                <w:b w:val="0"/>
                <w:bCs/>
                <w:snapToGrid w:val="0"/>
                <w:kern w:val="0"/>
                <w:sz w:val="28"/>
                <w:szCs w:val="28"/>
              </w:rPr>
              <w:t>一级指标</w:t>
            </w:r>
          </w:p>
        </w:tc>
        <w:tc>
          <w:tcPr>
            <w:tcW w:w="800" w:type="dxa"/>
            <w:vAlign w:val="center"/>
          </w:tcPr>
          <w:p>
            <w:pPr>
              <w:adjustRightInd/>
              <w:snapToGrid/>
              <w:jc w:val="center"/>
              <w:rPr>
                <w:rFonts w:ascii="仿宋_GB2312" w:eastAsia="仿宋_GB2312" w:hAnsi="仿宋_GB2312" w:cs="仿宋_GB2312" w:hint="eastAsia"/>
                <w:b w:val="0"/>
                <w:bCs/>
                <w:snapToGrid w:val="0"/>
                <w:kern w:val="0"/>
                <w:sz w:val="28"/>
                <w:szCs w:val="28"/>
              </w:rPr>
            </w:pPr>
            <w:r>
              <w:rPr>
                <w:rFonts w:ascii="仿宋_GB2312" w:eastAsia="仿宋_GB2312" w:hAnsi="仿宋_GB2312" w:cs="仿宋_GB2312" w:hint="eastAsia"/>
                <w:b w:val="0"/>
                <w:bCs/>
                <w:snapToGrid w:val="0"/>
                <w:kern w:val="0"/>
                <w:sz w:val="28"/>
                <w:szCs w:val="28"/>
              </w:rPr>
              <w:t>序号</w:t>
            </w:r>
          </w:p>
        </w:tc>
        <w:tc>
          <w:tcPr>
            <w:tcW w:w="2550" w:type="dxa"/>
            <w:vAlign w:val="center"/>
          </w:tcPr>
          <w:p>
            <w:pPr>
              <w:adjustRightInd/>
              <w:snapToGrid/>
              <w:ind w:firstLine="562"/>
              <w:jc w:val="both"/>
              <w:rPr>
                <w:rFonts w:ascii="仿宋_GB2312" w:eastAsia="仿宋_GB2312" w:hAnsi="仿宋_GB2312" w:cs="仿宋_GB2312" w:hint="eastAsia"/>
                <w:b w:val="0"/>
                <w:bCs/>
                <w:snapToGrid w:val="0"/>
                <w:kern w:val="0"/>
                <w:sz w:val="28"/>
                <w:szCs w:val="28"/>
              </w:rPr>
            </w:pPr>
            <w:r>
              <w:rPr>
                <w:rFonts w:ascii="仿宋_GB2312" w:eastAsia="仿宋_GB2312" w:hAnsi="仿宋_GB2312" w:cs="仿宋_GB2312" w:hint="eastAsia"/>
                <w:b w:val="0"/>
                <w:bCs/>
                <w:snapToGrid w:val="0"/>
                <w:kern w:val="0"/>
                <w:sz w:val="28"/>
                <w:szCs w:val="28"/>
              </w:rPr>
              <w:t>二级指标</w:t>
            </w:r>
          </w:p>
        </w:tc>
        <w:tc>
          <w:tcPr>
            <w:tcW w:w="1300" w:type="dxa"/>
            <w:vAlign w:val="center"/>
          </w:tcPr>
          <w:p>
            <w:pPr>
              <w:adjustRightInd/>
              <w:snapToGrid/>
              <w:jc w:val="center"/>
              <w:rPr>
                <w:rFonts w:ascii="仿宋_GB2312" w:eastAsia="仿宋_GB2312" w:hAnsi="仿宋_GB2312" w:cs="仿宋_GB2312" w:hint="eastAsia"/>
                <w:b w:val="0"/>
                <w:bCs/>
                <w:snapToGrid w:val="0"/>
                <w:kern w:val="0"/>
                <w:sz w:val="28"/>
                <w:szCs w:val="28"/>
              </w:rPr>
            </w:pPr>
            <w:r>
              <w:rPr>
                <w:rFonts w:ascii="仿宋_GB2312" w:eastAsia="仿宋_GB2312" w:hAnsi="仿宋_GB2312" w:cs="仿宋_GB2312" w:hint="eastAsia"/>
                <w:b w:val="0"/>
                <w:bCs/>
                <w:snapToGrid w:val="0"/>
                <w:kern w:val="0"/>
                <w:sz w:val="28"/>
                <w:szCs w:val="28"/>
              </w:rPr>
              <w:t>单位</w:t>
            </w:r>
          </w:p>
        </w:tc>
        <w:tc>
          <w:tcPr>
            <w:tcW w:w="1044" w:type="dxa"/>
            <w:vAlign w:val="center"/>
          </w:tcPr>
          <w:p>
            <w:pPr>
              <w:adjustRightInd/>
              <w:snapToGrid/>
              <w:jc w:val="center"/>
              <w:rPr>
                <w:rFonts w:ascii="仿宋_GB2312" w:eastAsia="仿宋_GB2312" w:hAnsi="仿宋_GB2312" w:cs="仿宋_GB2312" w:hint="eastAsia"/>
                <w:b w:val="0"/>
                <w:bCs/>
                <w:snapToGrid w:val="0"/>
                <w:kern w:val="0"/>
                <w:sz w:val="28"/>
                <w:szCs w:val="28"/>
                <w:lang w:val="en-US" w:eastAsia="zh-CN"/>
              </w:rPr>
            </w:pPr>
            <w:r>
              <w:rPr>
                <w:rFonts w:ascii="仿宋_GB2312" w:eastAsia="仿宋_GB2312" w:hAnsi="仿宋_GB2312" w:cs="仿宋_GB2312" w:hint="eastAsia"/>
                <w:b w:val="0"/>
                <w:bCs/>
                <w:snapToGrid w:val="0"/>
                <w:kern w:val="0"/>
                <w:sz w:val="28"/>
                <w:szCs w:val="28"/>
                <w:lang w:val="en-US" w:eastAsia="zh-CN"/>
              </w:rPr>
              <w:t>引领值</w:t>
            </w:r>
          </w:p>
        </w:tc>
        <w:tc>
          <w:tcPr>
            <w:tcW w:w="1058" w:type="dxa"/>
            <w:vAlign w:val="center"/>
          </w:tcPr>
          <w:p>
            <w:pPr>
              <w:adjustRightInd/>
              <w:snapToGrid/>
              <w:jc w:val="center"/>
              <w:rPr>
                <w:rFonts w:ascii="仿宋_GB2312" w:eastAsia="仿宋_GB2312" w:hAnsi="仿宋_GB2312" w:cs="仿宋_GB2312" w:hint="eastAsia"/>
                <w:b w:val="0"/>
                <w:bCs/>
                <w:snapToGrid w:val="0"/>
                <w:kern w:val="0"/>
                <w:sz w:val="28"/>
                <w:szCs w:val="28"/>
                <w:lang w:eastAsia="zh-CN"/>
              </w:rPr>
            </w:pPr>
            <w:r>
              <w:rPr>
                <w:rFonts w:ascii="仿宋_GB2312" w:eastAsia="仿宋_GB2312" w:hAnsi="仿宋_GB2312" w:cs="仿宋_GB2312" w:hint="eastAsia"/>
                <w:b w:val="0"/>
                <w:bCs/>
                <w:snapToGrid w:val="0"/>
                <w:kern w:val="0"/>
                <w:sz w:val="28"/>
                <w:szCs w:val="28"/>
                <w:lang w:val="en-US" w:eastAsia="zh-CN"/>
              </w:rPr>
              <w:t>类型</w:t>
            </w:r>
          </w:p>
        </w:tc>
      </w:tr>
      <w:tr>
        <w:tblPrEx>
          <w:tblW w:w="8356" w:type="dxa"/>
          <w:jc w:val="center"/>
          <w:tblLayout w:type="fixed"/>
          <w:tblCellMar>
            <w:top w:w="0" w:type="dxa"/>
            <w:left w:w="108" w:type="dxa"/>
            <w:bottom w:w="0" w:type="dxa"/>
            <w:right w:w="108" w:type="dxa"/>
          </w:tblCellMar>
          <w:tblLook w:val="0000"/>
        </w:tblPrEx>
        <w:trPr>
          <w:trHeight w:val="646"/>
          <w:jc w:val="center"/>
        </w:trPr>
        <w:tc>
          <w:tcPr>
            <w:tcW w:w="1604" w:type="dxa"/>
            <w:vMerge w:val="restart"/>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能源利用绿色化</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指标</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（EG）</w:t>
            </w: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能源产出率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万元/tce</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可再生能源使用</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比例</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15</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清洁能源使用率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75</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trHeight w:val="90"/>
          <w:jc w:val="center"/>
        </w:trPr>
        <w:tc>
          <w:tcPr>
            <w:tcW w:w="1604" w:type="dxa"/>
            <w:vMerge w:val="restart"/>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资源利用</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绿色化</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指标</w:t>
            </w:r>
            <w:r>
              <w:rPr>
                <w:rFonts w:ascii="仿宋_GB2312" w:eastAsia="仿宋_GB2312" w:hAnsi="仿宋_GB2312" w:cs="仿宋_GB2312" w:hint="eastAsia"/>
                <w:snapToGrid w:val="0"/>
                <w:kern w:val="0"/>
                <w:sz w:val="28"/>
                <w:szCs w:val="28"/>
              </w:rPr>
              <w:t>(RG)</w:t>
            </w: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4</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水资源产出率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元/m</w:t>
            </w:r>
            <w:r>
              <w:rPr>
                <w:rFonts w:ascii="仿宋_GB2312" w:eastAsia="仿宋_GB2312" w:hAnsi="仿宋_GB2312" w:cs="仿宋_GB2312" w:hint="eastAsia"/>
                <w:snapToGrid w:val="0"/>
                <w:kern w:val="0"/>
                <w:sz w:val="28"/>
                <w:szCs w:val="28"/>
                <w:vertAlign w:val="superscript"/>
              </w:rPr>
              <w:t>3</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1500</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5</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土地资源产出率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亿元/km</w:t>
            </w:r>
            <w:r>
              <w:rPr>
                <w:rFonts w:ascii="仿宋_GB2312" w:eastAsia="仿宋_GB2312" w:hAnsi="仿宋_GB2312" w:cs="仿宋_GB2312" w:hint="eastAsia"/>
                <w:snapToGrid w:val="0"/>
                <w:kern w:val="0"/>
                <w:sz w:val="28"/>
                <w:szCs w:val="28"/>
                <w:vertAlign w:val="superscript"/>
              </w:rPr>
              <w:t>2</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15</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6</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工业固体废弃物综合利用率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95</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7</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工业用水重复</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利用率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90</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8</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中水回用率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30</w:t>
            </w:r>
          </w:p>
        </w:tc>
        <w:tc>
          <w:tcPr>
            <w:tcW w:w="1058" w:type="dxa"/>
            <w:vMerge w:val="restart"/>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4项指标选2项</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9</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余热资源回收</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利用率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60</w:t>
            </w:r>
          </w:p>
        </w:tc>
        <w:tc>
          <w:tcPr>
            <w:tcW w:w="1058"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10</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废气资源回收</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利用率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90</w:t>
            </w:r>
          </w:p>
        </w:tc>
        <w:tc>
          <w:tcPr>
            <w:tcW w:w="1058"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11</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再生资源回收</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利用率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80</w:t>
            </w:r>
          </w:p>
        </w:tc>
        <w:tc>
          <w:tcPr>
            <w:tcW w:w="1058"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restart"/>
            <w:vAlign w:val="center"/>
          </w:tcPr>
          <w:p>
            <w:pPr>
              <w:adjustRightInd/>
              <w:snapToGrid/>
              <w:ind w:firstLine="560"/>
              <w:jc w:val="center"/>
              <w:rPr>
                <w:rFonts w:ascii="仿宋_GB2312" w:eastAsia="仿宋_GB2312" w:hAnsi="仿宋_GB2312" w:cs="仿宋_GB2312" w:hint="eastAsia"/>
                <w:snapToGrid w:val="0"/>
                <w:kern w:val="0"/>
                <w:sz w:val="28"/>
                <w:szCs w:val="28"/>
              </w:rPr>
            </w:pP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基础设施绿色指标</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(IG)</w:t>
            </w: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12</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污水集中处理设施</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具备</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13</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新建工业建筑中</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绿色建筑的比例</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30</w:t>
            </w:r>
          </w:p>
        </w:tc>
        <w:tc>
          <w:tcPr>
            <w:tcW w:w="1058" w:type="dxa"/>
            <w:vMerge w:val="restart"/>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2项指标选1项</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14</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新建公共建筑中</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绿色建筑的比例</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60</w:t>
            </w:r>
          </w:p>
        </w:tc>
        <w:tc>
          <w:tcPr>
            <w:tcW w:w="1058"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15</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500米公交站点</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覆盖率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90</w:t>
            </w:r>
          </w:p>
        </w:tc>
        <w:tc>
          <w:tcPr>
            <w:tcW w:w="1058" w:type="dxa"/>
            <w:vMerge w:val="restart"/>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2项指标选1项</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16</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节能与新能源</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公交车比例</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30</w:t>
            </w:r>
          </w:p>
        </w:tc>
        <w:tc>
          <w:tcPr>
            <w:tcW w:w="1058"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restart"/>
            <w:vAlign w:val="center"/>
          </w:tcPr>
          <w:p>
            <w:pPr>
              <w:adjustRightInd/>
              <w:snapToGrid/>
              <w:ind w:firstLine="560"/>
              <w:jc w:val="center"/>
              <w:rPr>
                <w:rFonts w:ascii="仿宋_GB2312" w:eastAsia="仿宋_GB2312" w:hAnsi="仿宋_GB2312" w:cs="仿宋_GB2312" w:hint="eastAsia"/>
                <w:snapToGrid w:val="0"/>
                <w:kern w:val="0"/>
                <w:sz w:val="28"/>
                <w:szCs w:val="28"/>
              </w:rPr>
            </w:pP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产业绿色指标</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（CG）</w:t>
            </w: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17</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高新技术产业产值占园区工业总产值比例</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30</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18</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绿色产业增加值占园区工业增加值</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比例</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30</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19</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人均工业增加值</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万元/人</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15</w:t>
            </w:r>
          </w:p>
        </w:tc>
        <w:tc>
          <w:tcPr>
            <w:tcW w:w="1058" w:type="dxa"/>
            <w:vMerge w:val="restart"/>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2项指标选1项</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20</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现代服务业比例</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30</w:t>
            </w:r>
          </w:p>
        </w:tc>
        <w:tc>
          <w:tcPr>
            <w:tcW w:w="1058"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restart"/>
            <w:vAlign w:val="center"/>
          </w:tcPr>
          <w:p>
            <w:pPr>
              <w:adjustRightInd/>
              <w:snapToGrid/>
              <w:ind w:firstLine="560"/>
              <w:jc w:val="center"/>
              <w:rPr>
                <w:rFonts w:ascii="仿宋_GB2312" w:eastAsia="仿宋_GB2312" w:hAnsi="仿宋_GB2312" w:cs="仿宋_GB2312" w:hint="eastAsia"/>
                <w:snapToGrid w:val="0"/>
                <w:kern w:val="0"/>
                <w:sz w:val="28"/>
                <w:szCs w:val="28"/>
              </w:rPr>
            </w:pPr>
          </w:p>
          <w:p>
            <w:pPr>
              <w:adjustRightInd/>
              <w:snapToGrid/>
              <w:jc w:val="both"/>
              <w:rPr>
                <w:rFonts w:ascii="仿宋_GB2312" w:eastAsia="仿宋_GB2312" w:hAnsi="仿宋_GB2312" w:cs="仿宋_GB2312" w:hint="eastAsia"/>
                <w:snapToGrid w:val="0"/>
                <w:kern w:val="0"/>
                <w:sz w:val="28"/>
                <w:szCs w:val="28"/>
              </w:rPr>
            </w:pP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生态环境绿色指标</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（HG）</w:t>
            </w: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21</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工业固体废弃物（含危废）处置</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利用率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100</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22</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万元工业增加值</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碳排放量消减率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23</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单位工业增加值</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废水排放量</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t/万元</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5</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24</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主要污染物弹性</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系数</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0.3</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25</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园区空气质量</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优良率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80</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26</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绿化覆盖率</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30</w:t>
            </w:r>
          </w:p>
        </w:tc>
        <w:tc>
          <w:tcPr>
            <w:tcW w:w="1058" w:type="dxa"/>
            <w:vMerge w:val="restart"/>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lang w:val="en-US" w:eastAsia="zh-CN"/>
              </w:rPr>
              <w:t>3</w:t>
            </w:r>
            <w:r>
              <w:rPr>
                <w:rFonts w:ascii="仿宋_GB2312" w:eastAsia="仿宋_GB2312" w:hAnsi="仿宋_GB2312" w:cs="仿宋_GB2312" w:hint="eastAsia"/>
                <w:snapToGrid w:val="0"/>
                <w:kern w:val="0"/>
                <w:sz w:val="28"/>
                <w:szCs w:val="28"/>
              </w:rPr>
              <w:t>项指标选1项</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27</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道路遮荫比例</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80</w:t>
            </w:r>
          </w:p>
        </w:tc>
        <w:tc>
          <w:tcPr>
            <w:tcW w:w="1058" w:type="dxa"/>
            <w:vMerge/>
            <w:vAlign w:val="center"/>
          </w:tcPr>
          <w:p>
            <w:pPr>
              <w:adjustRightInd/>
              <w:snapToGrid/>
              <w:jc w:val="center"/>
              <w:rPr>
                <w:rFonts w:ascii="仿宋_GB2312" w:eastAsia="仿宋_GB2312" w:hAnsi="仿宋_GB2312" w:cs="仿宋_GB2312" w:hint="eastAsia"/>
                <w:snapToGrid w:val="0"/>
                <w:kern w:val="0"/>
                <w:sz w:val="28"/>
                <w:szCs w:val="28"/>
              </w:rPr>
            </w:pP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28</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露天停车场遮荫</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比例</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80</w:t>
            </w:r>
          </w:p>
        </w:tc>
        <w:tc>
          <w:tcPr>
            <w:tcW w:w="1058"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restart"/>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运行管理绿色指标</w:t>
            </w:r>
          </w:p>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（MG）</w:t>
            </w: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29</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绿色园区标准体系完善程度</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完善</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30</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编制绿色园区发展规划</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是</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r>
        <w:tblPrEx>
          <w:tblW w:w="8356" w:type="dxa"/>
          <w:jc w:val="center"/>
          <w:tblLayout w:type="fixed"/>
          <w:tblCellMar>
            <w:top w:w="0" w:type="dxa"/>
            <w:left w:w="108" w:type="dxa"/>
            <w:bottom w:w="0" w:type="dxa"/>
            <w:right w:w="108" w:type="dxa"/>
          </w:tblCellMar>
          <w:tblLook w:val="0000"/>
        </w:tblPrEx>
        <w:trPr>
          <w:jc w:val="center"/>
        </w:trPr>
        <w:tc>
          <w:tcPr>
            <w:tcW w:w="1604" w:type="dxa"/>
            <w:vMerge/>
            <w:vAlign w:val="center"/>
          </w:tcPr>
          <w:p>
            <w:pPr>
              <w:adjustRightInd/>
              <w:snapToGrid/>
              <w:ind w:firstLine="560"/>
              <w:jc w:val="center"/>
              <w:rPr>
                <w:rFonts w:ascii="仿宋_GB2312" w:eastAsia="仿宋_GB2312" w:hAnsi="仿宋_GB2312" w:cs="仿宋_GB2312" w:hint="eastAsia"/>
                <w:snapToGrid w:val="0"/>
                <w:kern w:val="0"/>
                <w:sz w:val="28"/>
                <w:szCs w:val="28"/>
              </w:rPr>
            </w:pPr>
          </w:p>
        </w:tc>
        <w:tc>
          <w:tcPr>
            <w:tcW w:w="800" w:type="dxa"/>
            <w:vAlign w:val="center"/>
          </w:tcPr>
          <w:p>
            <w:pPr>
              <w:pStyle w:val="1"/>
              <w:adjustRightInd/>
              <w:snapToGrid/>
              <w:ind w:firstLine="0" w:firstLineChars="0"/>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31</w:t>
            </w:r>
          </w:p>
        </w:tc>
        <w:tc>
          <w:tcPr>
            <w:tcW w:w="255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绿色园区信息平台完善程度</w:t>
            </w:r>
          </w:p>
        </w:tc>
        <w:tc>
          <w:tcPr>
            <w:tcW w:w="1300"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w:t>
            </w:r>
          </w:p>
        </w:tc>
        <w:tc>
          <w:tcPr>
            <w:tcW w:w="1044"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完善</w:t>
            </w:r>
          </w:p>
        </w:tc>
        <w:tc>
          <w:tcPr>
            <w:tcW w:w="1058" w:type="dxa"/>
            <w:vAlign w:val="center"/>
          </w:tcPr>
          <w:p>
            <w:pPr>
              <w:adjustRightInd/>
              <w:snapToGrid/>
              <w:jc w:val="center"/>
              <w:rPr>
                <w:rFonts w:ascii="仿宋_GB2312" w:eastAsia="仿宋_GB2312" w:hAnsi="仿宋_GB2312" w:cs="仿宋_GB2312" w:hint="eastAsia"/>
                <w:snapToGrid w:val="0"/>
                <w:kern w:val="0"/>
                <w:sz w:val="28"/>
                <w:szCs w:val="28"/>
              </w:rPr>
            </w:pPr>
            <w:r>
              <w:rPr>
                <w:rFonts w:ascii="仿宋_GB2312" w:eastAsia="仿宋_GB2312" w:hAnsi="仿宋_GB2312" w:cs="仿宋_GB2312" w:hint="eastAsia"/>
                <w:snapToGrid w:val="0"/>
                <w:kern w:val="0"/>
                <w:sz w:val="28"/>
                <w:szCs w:val="28"/>
              </w:rPr>
              <w:t>必选</w:t>
            </w:r>
          </w:p>
        </w:tc>
      </w:tr>
    </w:tbl>
    <w:p>
      <w:pPr>
        <w:ind w:firstLine="630"/>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（三）评价方法</w:t>
      </w:r>
    </w:p>
    <w:p>
      <w:pPr>
        <w:ind w:firstLine="630"/>
        <w:rPr>
          <w:rFonts w:ascii="Times New Roman" w:hAnsi="Times New Roman" w:cs="Times New Roman" w:hint="default"/>
          <w:snapToGrid w:val="0"/>
        </w:rPr>
      </w:pPr>
      <w:r>
        <w:rPr>
          <w:rFonts w:ascii="Times New Roman" w:eastAsia="仿宋_GB2312" w:hAnsi="Times New Roman" w:cs="Times New Roman" w:hint="default"/>
          <w:snapToGrid w:val="0"/>
          <w:sz w:val="32"/>
          <w:szCs w:val="32"/>
        </w:rPr>
        <w:t>工业园区绿色指数的计算方法如下面公式所示。</w:t>
      </w:r>
    </w:p>
    <w:p>
      <w:pPr>
        <w:pStyle w:val="a"/>
        <w:widowControl w:val="0"/>
        <w:tabs>
          <w:tab w:val="center" w:pos="4201"/>
          <w:tab w:val="right" w:leader="dot" w:pos="9298"/>
        </w:tabs>
        <w:ind w:firstLine="640"/>
        <w:rPr>
          <w:rFonts w:ascii="Times New Roman" w:eastAsia="仿宋_GB2312" w:hAnsi="Times New Roman" w:cs="Times New Roman" w:hint="default"/>
          <w:snapToGrid w:val="0"/>
          <w:sz w:val="32"/>
          <w:szCs w:val="32"/>
          <w:lang w:val="en-US"/>
        </w:rPr>
      </w:pPr>
      <w:r>
        <w:rPr>
          <w:rFonts w:ascii="黑体" w:eastAsia="黑体" w:hAnsi="黑体" w:cs="黑体" w:hint="eastAsia"/>
          <w:i w:val="0"/>
          <w:snapToGrid w:val="0"/>
          <w:position w:val="0"/>
          <w:sz w:val="32"/>
          <w:szCs w:val="32"/>
          <w:lang w:val="en-US" w:eastAsia="zh-CN" w:bidi="ar-S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423pt;height:39.99pt;mso-position-horizontal-relative:page;mso-position-vertical-relative:page;mso-wrap-style:square" o:oleicon="f" o:ole="" o:preferrelative="t" filled="f" stroked="f">
            <v:stroke linestyle="single"/>
            <v:imagedata r:id="rId4" o:title=""/>
            <v:path o:extrusionok="f"/>
            <o:lock v:ext="edit" aspectratio="t"/>
          </v:shape>
          <o:OLEObject Type="Embed" ProgID="Equation.KSEE3" ShapeID="对象 1" DrawAspect="Content" ObjectID="_1234567890" r:id="rId5"/>
        </w:object>
      </w:r>
    </w:p>
    <w:p>
      <w:pPr>
        <w:pStyle w:val="a"/>
        <w:widowControl w:val="0"/>
        <w:tabs>
          <w:tab w:val="center" w:pos="4201"/>
          <w:tab w:val="right" w:leader="dot" w:pos="9298"/>
        </w:tabs>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式中：</w:t>
      </w:r>
    </w:p>
    <w:p>
      <w:pPr>
        <w:pStyle w:val="a"/>
        <w:widowControl w:val="0"/>
        <w:tabs>
          <w:tab w:val="center" w:pos="4201"/>
          <w:tab w:val="right" w:leader="dot" w:pos="9298"/>
        </w:tabs>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position w:val="0"/>
          <w:sz w:val="32"/>
          <w:szCs w:val="32"/>
        </w:rPr>
        <w:object>
          <v:shape id="对象 2" o:spid="_x0000_i1026" type="#_x0000_t75" style="width:17.02pt;height:14.26pt;mso-position-horizontal-relative:page;mso-position-vertical-relative:page;mso-wrap-style:square" o:oleicon="f" o:ole="" o:preferrelative="t" filled="f" stroked="f">
            <v:stroke joinstyle="miter" linestyle="single"/>
            <v:imagedata r:id="rId6" o:title=""/>
            <v:path o:extrusionok="f"/>
            <o:lock v:ext="edit" aspectratio="t"/>
          </v:shape>
          <o:OLEObject Type="Embed" ProgID="Equation.DSMT4" ShapeID="对象 2" DrawAspect="Content" ObjectID="_1234567891" r:id="rId7"/>
        </w:object>
      </w:r>
      <w:r>
        <w:rPr>
          <w:rFonts w:ascii="Times New Roman" w:eastAsia="仿宋_GB2312" w:hAnsi="Times New Roman" w:cs="Times New Roman" w:hint="default"/>
          <w:snapToGrid w:val="0"/>
          <w:sz w:val="32"/>
          <w:szCs w:val="32"/>
        </w:rPr>
        <w:t>为工业园区绿色指数</w:t>
      </w:r>
      <w:r>
        <w:rPr>
          <w:rFonts w:ascii="Times New Roman" w:eastAsia="仿宋_GB2312" w:hAnsi="Times New Roman" w:cs="Times New Roman" w:hint="default"/>
          <w:snapToGrid w:val="0"/>
          <w:position w:val="0"/>
          <w:sz w:val="32"/>
          <w:szCs w:val="32"/>
        </w:rPr>
        <w:t>；</w:t>
      </w:r>
    </w:p>
    <w:p>
      <w:pPr>
        <w:pStyle w:val="a"/>
        <w:widowControl w:val="0"/>
        <w:tabs>
          <w:tab w:val="center" w:pos="4201"/>
          <w:tab w:val="right" w:leader="dot" w:pos="9298"/>
        </w:tabs>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position w:val="0"/>
          <w:sz w:val="32"/>
          <w:szCs w:val="32"/>
        </w:rPr>
        <w:object>
          <v:shape id="对象 3" o:spid="_x0000_i1027" type="#_x0000_t75" style="width:21.73pt;height:18.34pt;mso-position-horizontal-relative:page;mso-position-vertical-relative:page;mso-wrap-style:square" o:oleicon="f" o:ole="" o:preferrelative="t" filled="f" stroked="f">
            <v:stroke joinstyle="miter" linestyle="single"/>
            <v:imagedata r:id="rId8" o:title=""/>
            <v:path o:extrusionok="f"/>
            <o:lock v:ext="edit" aspectratio="t"/>
          </v:shape>
          <o:OLEObject Type="Embed" ProgID="Equation.DSMT4" ShapeID="对象 3" DrawAspect="Content" ObjectID="_1234567892" r:id="rId9"/>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4" o:spid="_x0000_i1028"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4" DrawAspect="Content" ObjectID="_1234567893" r:id="rId11"/>
        </w:object>
      </w:r>
      <w:r>
        <w:rPr>
          <w:rFonts w:ascii="Times New Roman" w:eastAsia="仿宋_GB2312" w:hAnsi="Times New Roman" w:cs="Times New Roman" w:hint="default"/>
          <w:snapToGrid w:val="0"/>
          <w:sz w:val="32"/>
          <w:szCs w:val="32"/>
        </w:rPr>
        <w:t>项能源利用绿色</w:t>
      </w:r>
      <w:r>
        <w:rPr>
          <w:rFonts w:ascii="Times New Roman" w:eastAsia="仿宋_GB2312" w:hAnsi="Times New Roman" w:cs="Times New Roman" w:hint="default"/>
          <w:snapToGrid w:val="0"/>
          <w:sz w:val="32"/>
          <w:szCs w:val="32"/>
          <w:lang w:val="en-US" w:eastAsia="zh-CN"/>
        </w:rPr>
        <w:t>化</w:t>
      </w:r>
      <w:r>
        <w:rPr>
          <w:rFonts w:ascii="Times New Roman" w:eastAsia="仿宋_GB2312" w:hAnsi="Times New Roman" w:cs="Times New Roman" w:hint="default"/>
          <w:snapToGrid w:val="0"/>
          <w:sz w:val="32"/>
          <w:szCs w:val="32"/>
        </w:rPr>
        <w:t>指标值；</w:t>
      </w:r>
      <w:r>
        <w:rPr>
          <w:rFonts w:ascii="Times New Roman" w:eastAsia="仿宋_GB2312" w:hAnsi="Times New Roman" w:cs="Times New Roman" w:hint="default"/>
          <w:snapToGrid w:val="0"/>
          <w:position w:val="0"/>
          <w:sz w:val="32"/>
          <w:szCs w:val="32"/>
        </w:rPr>
        <w:object>
          <v:shape id="对象 5" o:spid="_x0000_i1029" type="#_x0000_t75" style="width:24.45pt;height:18.34pt;mso-position-horizontal-relative:page;mso-position-vertical-relative:page;mso-wrap-style:square" o:oleicon="f" o:ole="" o:preferrelative="t" filled="f" stroked="f">
            <v:stroke joinstyle="miter" linestyle="single"/>
            <v:imagedata r:id="rId12" o:title=""/>
            <v:path o:extrusionok="f"/>
            <o:lock v:ext="edit" aspectratio="t"/>
          </v:shape>
          <o:OLEObject Type="Embed" ProgID="Equation.DSMT4" ShapeID="对象 5" DrawAspect="Content" ObjectID="_1234567894" r:id="rId13"/>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6" o:spid="_x0000_i1030"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6" DrawAspect="Content" ObjectID="_1234567895" r:id="rId14"/>
        </w:object>
      </w:r>
      <w:r>
        <w:rPr>
          <w:rFonts w:ascii="Times New Roman" w:eastAsia="仿宋_GB2312" w:hAnsi="Times New Roman" w:cs="Times New Roman" w:hint="default"/>
          <w:snapToGrid w:val="0"/>
          <w:sz w:val="32"/>
          <w:szCs w:val="32"/>
        </w:rPr>
        <w:t>项能源利用绿色指标</w:t>
      </w:r>
      <w:r>
        <w:rPr>
          <w:rFonts w:ascii="Times New Roman" w:eastAsia="仿宋_GB2312" w:hAnsi="Times New Roman" w:cs="Times New Roman" w:hint="default"/>
          <w:snapToGrid w:val="0"/>
          <w:sz w:val="32"/>
          <w:szCs w:val="32"/>
          <w:lang w:val="en-US" w:eastAsia="zh-CN"/>
        </w:rPr>
        <w:t>引领</w:t>
      </w:r>
      <w:r>
        <w:rPr>
          <w:rFonts w:ascii="Times New Roman" w:eastAsia="仿宋_GB2312" w:hAnsi="Times New Roman" w:cs="Times New Roman" w:hint="default"/>
          <w:snapToGrid w:val="0"/>
          <w:sz w:val="32"/>
          <w:szCs w:val="32"/>
        </w:rPr>
        <w:t>值；</w:t>
      </w:r>
    </w:p>
    <w:p>
      <w:pPr>
        <w:pStyle w:val="a"/>
        <w:widowControl w:val="0"/>
        <w:tabs>
          <w:tab w:val="center" w:pos="4201"/>
          <w:tab w:val="right" w:leader="dot" w:pos="9298"/>
        </w:tabs>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position w:val="0"/>
          <w:sz w:val="32"/>
          <w:szCs w:val="32"/>
        </w:rPr>
        <w:object>
          <v:shape id="对象 7" o:spid="_x0000_i1031" type="#_x0000_t75" style="width:21.73pt;height:18.34pt;mso-position-horizontal-relative:page;mso-position-vertical-relative:page;mso-wrap-style:square" o:oleicon="f" o:ole="" o:preferrelative="t" filled="f" stroked="f">
            <v:stroke joinstyle="miter" linestyle="single"/>
            <v:imagedata r:id="rId15" o:title=""/>
            <v:path o:extrusionok="f"/>
            <o:lock v:ext="edit" aspectratio="t"/>
          </v:shape>
          <o:OLEObject Type="Embed" ProgID="Equation.DSMT4" ShapeID="对象 7" DrawAspect="Content" ObjectID="_1234567896" r:id="rId16"/>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8" o:spid="_x0000_i1032"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8" DrawAspect="Content" ObjectID="_1234567897" r:id="rId17"/>
        </w:object>
      </w:r>
      <w:r>
        <w:rPr>
          <w:rFonts w:ascii="Times New Roman" w:eastAsia="仿宋_GB2312" w:hAnsi="Times New Roman" w:cs="Times New Roman" w:hint="default"/>
          <w:snapToGrid w:val="0"/>
          <w:sz w:val="32"/>
          <w:szCs w:val="32"/>
        </w:rPr>
        <w:t>项资源利用绿色</w:t>
      </w:r>
      <w:r>
        <w:rPr>
          <w:rFonts w:ascii="Times New Roman" w:eastAsia="仿宋_GB2312" w:hAnsi="Times New Roman" w:cs="Times New Roman" w:hint="default"/>
          <w:snapToGrid w:val="0"/>
          <w:sz w:val="32"/>
          <w:szCs w:val="32"/>
          <w:lang w:val="en-US" w:eastAsia="zh-CN"/>
        </w:rPr>
        <w:t>化</w:t>
      </w:r>
      <w:r>
        <w:rPr>
          <w:rFonts w:ascii="Times New Roman" w:eastAsia="仿宋_GB2312" w:hAnsi="Times New Roman" w:cs="Times New Roman" w:hint="default"/>
          <w:snapToGrid w:val="0"/>
          <w:sz w:val="32"/>
          <w:szCs w:val="32"/>
        </w:rPr>
        <w:t>指标值，</w:t>
      </w:r>
      <w:r>
        <w:rPr>
          <w:rFonts w:ascii="Times New Roman" w:eastAsia="仿宋_GB2312" w:hAnsi="Times New Roman" w:cs="Times New Roman" w:hint="default"/>
          <w:snapToGrid w:val="0"/>
          <w:position w:val="0"/>
          <w:sz w:val="32"/>
          <w:szCs w:val="32"/>
        </w:rPr>
        <w:object>
          <v:shape id="对象 9" o:spid="_x0000_i1033" type="#_x0000_t75" style="width:24.45pt;height:18.34pt;mso-position-horizontal-relative:page;mso-position-vertical-relative:page;mso-wrap-style:square" o:oleicon="f" o:ole="" o:preferrelative="t" filled="f" stroked="f">
            <v:stroke joinstyle="miter" linestyle="single"/>
            <v:imagedata r:id="rId18" o:title=""/>
            <v:path o:extrusionok="f"/>
            <o:lock v:ext="edit" aspectratio="t"/>
          </v:shape>
          <o:OLEObject Type="Embed" ProgID="Equation.DSMT4" ShapeID="对象 9" DrawAspect="Content" ObjectID="_1234567898" r:id="rId19"/>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10" o:spid="_x0000_i1034"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10" DrawAspect="Content" ObjectID="_1234567899" r:id="rId20"/>
        </w:object>
      </w:r>
      <w:r>
        <w:rPr>
          <w:rFonts w:ascii="Times New Roman" w:eastAsia="仿宋_GB2312" w:hAnsi="Times New Roman" w:cs="Times New Roman" w:hint="default"/>
          <w:snapToGrid w:val="0"/>
          <w:sz w:val="32"/>
          <w:szCs w:val="32"/>
        </w:rPr>
        <w:t>项资源利用绿色指标</w:t>
      </w:r>
      <w:r>
        <w:rPr>
          <w:rFonts w:ascii="Times New Roman" w:eastAsia="仿宋_GB2312" w:hAnsi="Times New Roman" w:cs="Times New Roman" w:hint="default"/>
          <w:snapToGrid w:val="0"/>
          <w:sz w:val="32"/>
          <w:szCs w:val="32"/>
          <w:lang w:val="en-US" w:eastAsia="zh-CN"/>
        </w:rPr>
        <w:t>引领</w:t>
      </w:r>
      <w:r>
        <w:rPr>
          <w:rFonts w:ascii="Times New Roman" w:eastAsia="仿宋_GB2312" w:hAnsi="Times New Roman" w:cs="Times New Roman" w:hint="default"/>
          <w:snapToGrid w:val="0"/>
          <w:sz w:val="32"/>
          <w:szCs w:val="32"/>
        </w:rPr>
        <w:t>值；</w:t>
      </w:r>
    </w:p>
    <w:p>
      <w:pPr>
        <w:pStyle w:val="a"/>
        <w:widowControl w:val="0"/>
        <w:tabs>
          <w:tab w:val="center" w:pos="4201"/>
          <w:tab w:val="right" w:leader="dot" w:pos="9298"/>
        </w:tabs>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position w:val="0"/>
          <w:sz w:val="32"/>
          <w:szCs w:val="32"/>
        </w:rPr>
        <w:object>
          <v:shape id="对象 11" o:spid="_x0000_i1035" type="#_x0000_t75" style="width:18.99pt;height:18.34pt;mso-position-horizontal-relative:page;mso-position-vertical-relative:page;mso-wrap-style:square" o:oleicon="f" o:ole="" o:preferrelative="t" filled="f" stroked="f">
            <v:stroke joinstyle="miter" linestyle="single"/>
            <v:imagedata r:id="rId21" o:title=""/>
            <v:path o:extrusionok="f"/>
            <o:lock v:ext="edit" aspectratio="t"/>
          </v:shape>
          <o:OLEObject Type="Embed" ProgID="Equation.DSMT4" ShapeID="对象 11" DrawAspect="Content" ObjectID="_1234567900" r:id="rId22"/>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12" o:spid="_x0000_i1036"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12" DrawAspect="Content" ObjectID="_1234567901" r:id="rId23"/>
        </w:object>
      </w:r>
      <w:r>
        <w:rPr>
          <w:rFonts w:ascii="Times New Roman" w:eastAsia="仿宋_GB2312" w:hAnsi="Times New Roman" w:cs="Times New Roman" w:hint="default"/>
          <w:snapToGrid w:val="0"/>
          <w:sz w:val="32"/>
          <w:szCs w:val="32"/>
        </w:rPr>
        <w:t>项基础设施绿色</w:t>
      </w:r>
      <w:r>
        <w:rPr>
          <w:rFonts w:ascii="Times New Roman" w:eastAsia="仿宋_GB2312" w:hAnsi="Times New Roman" w:cs="Times New Roman" w:hint="default"/>
          <w:snapToGrid w:val="0"/>
          <w:sz w:val="32"/>
          <w:szCs w:val="32"/>
          <w:lang w:val="en-US" w:eastAsia="zh-CN"/>
        </w:rPr>
        <w:t>化</w:t>
      </w:r>
      <w:r>
        <w:rPr>
          <w:rFonts w:ascii="Times New Roman" w:eastAsia="仿宋_GB2312" w:hAnsi="Times New Roman" w:cs="Times New Roman" w:hint="default"/>
          <w:snapToGrid w:val="0"/>
          <w:sz w:val="32"/>
          <w:szCs w:val="32"/>
        </w:rPr>
        <w:t>指标值，</w:t>
      </w:r>
      <w:r>
        <w:rPr>
          <w:rFonts w:ascii="Times New Roman" w:eastAsia="仿宋_GB2312" w:hAnsi="Times New Roman" w:cs="Times New Roman" w:hint="default"/>
          <w:snapToGrid w:val="0"/>
          <w:position w:val="0"/>
          <w:sz w:val="32"/>
          <w:szCs w:val="32"/>
        </w:rPr>
        <w:object>
          <v:shape id="对象 13" o:spid="_x0000_i1037" type="#_x0000_t75" style="width:21.73pt;height:18.34pt;mso-position-horizontal-relative:page;mso-position-vertical-relative:page;mso-wrap-style:square" o:oleicon="f" o:ole="" o:preferrelative="t" filled="f" stroked="f">
            <v:stroke joinstyle="miter" linestyle="single"/>
            <v:imagedata r:id="rId24" o:title=""/>
            <v:path o:extrusionok="f"/>
            <o:lock v:ext="edit" aspectratio="t"/>
          </v:shape>
          <o:OLEObject Type="Embed" ProgID="Equation.DSMT4" ShapeID="对象 13" DrawAspect="Content" ObjectID="_1234567902" r:id="rId25"/>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14" o:spid="_x0000_i1038"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14" DrawAspect="Content" ObjectID="_1234567903" r:id="rId26"/>
        </w:object>
      </w:r>
      <w:r>
        <w:rPr>
          <w:rFonts w:ascii="Times New Roman" w:eastAsia="仿宋_GB2312" w:hAnsi="Times New Roman" w:cs="Times New Roman" w:hint="default"/>
          <w:snapToGrid w:val="0"/>
          <w:sz w:val="32"/>
          <w:szCs w:val="32"/>
        </w:rPr>
        <w:t>项基础设施绿色指标</w:t>
      </w:r>
      <w:r>
        <w:rPr>
          <w:rFonts w:ascii="Times New Roman" w:eastAsia="仿宋_GB2312" w:hAnsi="Times New Roman" w:cs="Times New Roman" w:hint="default"/>
          <w:snapToGrid w:val="0"/>
          <w:sz w:val="32"/>
          <w:szCs w:val="32"/>
          <w:lang w:val="en-US" w:eastAsia="zh-CN"/>
        </w:rPr>
        <w:t>引领</w:t>
      </w:r>
      <w:r>
        <w:rPr>
          <w:rFonts w:ascii="Times New Roman" w:eastAsia="仿宋_GB2312" w:hAnsi="Times New Roman" w:cs="Times New Roman" w:hint="default"/>
          <w:snapToGrid w:val="0"/>
          <w:sz w:val="32"/>
          <w:szCs w:val="32"/>
        </w:rPr>
        <w:t>值；</w:t>
      </w:r>
    </w:p>
    <w:p>
      <w:pPr>
        <w:pStyle w:val="a"/>
        <w:widowControl w:val="0"/>
        <w:tabs>
          <w:tab w:val="center" w:pos="4201"/>
          <w:tab w:val="right" w:leader="dot" w:pos="9298"/>
        </w:tabs>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position w:val="0"/>
          <w:sz w:val="32"/>
          <w:szCs w:val="32"/>
        </w:rPr>
        <w:object>
          <v:shape id="对象 15" o:spid="_x0000_i1039" type="#_x0000_t75" style="width:21.73pt;height:18.34pt;mso-position-horizontal-relative:page;mso-position-vertical-relative:page;mso-wrap-style:square" o:oleicon="f" o:ole="" o:preferrelative="t" filled="f" stroked="f">
            <v:stroke joinstyle="miter" linestyle="single"/>
            <v:imagedata r:id="rId27" o:title=""/>
            <v:path o:extrusionok="f"/>
            <o:lock v:ext="edit" aspectratio="t"/>
          </v:shape>
          <o:OLEObject Type="Embed" ProgID="Equation.DSMT4" ShapeID="对象 15" DrawAspect="Content" ObjectID="_1234567904" r:id="rId28"/>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16" o:spid="_x0000_i1040"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16" DrawAspect="Content" ObjectID="_1234567905" r:id="rId29"/>
        </w:object>
      </w:r>
      <w:r>
        <w:rPr>
          <w:rFonts w:ascii="Times New Roman" w:eastAsia="仿宋_GB2312" w:hAnsi="Times New Roman" w:cs="Times New Roman" w:hint="default"/>
          <w:snapToGrid w:val="0"/>
          <w:sz w:val="32"/>
          <w:szCs w:val="32"/>
        </w:rPr>
        <w:t>项产业绿色</w:t>
      </w:r>
      <w:r>
        <w:rPr>
          <w:rFonts w:ascii="Times New Roman" w:eastAsia="仿宋_GB2312" w:hAnsi="Times New Roman" w:cs="Times New Roman" w:hint="default"/>
          <w:snapToGrid w:val="0"/>
          <w:sz w:val="32"/>
          <w:szCs w:val="32"/>
          <w:lang w:val="en-US" w:eastAsia="zh-CN"/>
        </w:rPr>
        <w:t>化</w:t>
      </w:r>
      <w:r>
        <w:rPr>
          <w:rFonts w:ascii="Times New Roman" w:eastAsia="仿宋_GB2312" w:hAnsi="Times New Roman" w:cs="Times New Roman" w:hint="default"/>
          <w:snapToGrid w:val="0"/>
          <w:sz w:val="32"/>
          <w:szCs w:val="32"/>
        </w:rPr>
        <w:t>指标值，</w:t>
      </w:r>
      <w:r>
        <w:rPr>
          <w:rFonts w:ascii="Times New Roman" w:eastAsia="仿宋_GB2312" w:hAnsi="Times New Roman" w:cs="Times New Roman" w:hint="default"/>
          <w:snapToGrid w:val="0"/>
          <w:position w:val="0"/>
          <w:sz w:val="32"/>
          <w:szCs w:val="32"/>
        </w:rPr>
        <w:object>
          <v:shape id="对象 17" o:spid="_x0000_i1041" type="#_x0000_t75" style="width:24.45pt;height:18.34pt;mso-position-horizontal-relative:page;mso-position-vertical-relative:page;mso-wrap-style:square" o:oleicon="f" o:ole="" o:preferrelative="t" filled="f" stroked="f">
            <v:stroke joinstyle="miter" linestyle="single"/>
            <v:imagedata r:id="rId30" o:title=""/>
            <v:path o:extrusionok="f"/>
            <o:lock v:ext="edit" aspectratio="t"/>
          </v:shape>
          <o:OLEObject Type="Embed" ProgID="Equation.DSMT4" ShapeID="对象 17" DrawAspect="Content" ObjectID="_1234567906" r:id="rId31"/>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18" o:spid="_x0000_i1042"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18" DrawAspect="Content" ObjectID="_1234567907" r:id="rId32"/>
        </w:object>
      </w:r>
      <w:r>
        <w:rPr>
          <w:rFonts w:ascii="Times New Roman" w:eastAsia="仿宋_GB2312" w:hAnsi="Times New Roman" w:cs="Times New Roman" w:hint="default"/>
          <w:snapToGrid w:val="0"/>
          <w:sz w:val="32"/>
          <w:szCs w:val="32"/>
        </w:rPr>
        <w:t>项产业绿色指标</w:t>
      </w:r>
      <w:r>
        <w:rPr>
          <w:rFonts w:ascii="Times New Roman" w:eastAsia="仿宋_GB2312" w:hAnsi="Times New Roman" w:cs="Times New Roman" w:hint="default"/>
          <w:snapToGrid w:val="0"/>
          <w:sz w:val="32"/>
          <w:szCs w:val="32"/>
          <w:lang w:val="en-US" w:eastAsia="zh-CN"/>
        </w:rPr>
        <w:t>引领</w:t>
      </w:r>
      <w:r>
        <w:rPr>
          <w:rFonts w:ascii="Times New Roman" w:eastAsia="仿宋_GB2312" w:hAnsi="Times New Roman" w:cs="Times New Roman" w:hint="default"/>
          <w:snapToGrid w:val="0"/>
          <w:sz w:val="32"/>
          <w:szCs w:val="32"/>
        </w:rPr>
        <w:t>值；</w:t>
      </w:r>
    </w:p>
    <w:p>
      <w:pPr>
        <w:pStyle w:val="a"/>
        <w:widowControl w:val="0"/>
        <w:tabs>
          <w:tab w:val="center" w:pos="4201"/>
          <w:tab w:val="right" w:leader="dot" w:pos="9298"/>
        </w:tabs>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position w:val="0"/>
          <w:sz w:val="32"/>
          <w:szCs w:val="32"/>
        </w:rPr>
        <w:object>
          <v:shape id="对象 19" o:spid="_x0000_i1043" type="#_x0000_t75" style="width:23.09pt;height:18.34pt;mso-position-horizontal-relative:page;mso-position-vertical-relative:page;mso-wrap-style:square" o:oleicon="f" o:ole="" o:preferrelative="t" filled="f" stroked="f">
            <v:stroke joinstyle="miter" linestyle="single"/>
            <v:imagedata r:id="rId33" o:title=""/>
            <v:path o:extrusionok="f"/>
            <o:lock v:ext="edit" aspectratio="t"/>
          </v:shape>
          <o:OLEObject Type="Embed" ProgID="Equation.DSMT4" ShapeID="对象 19" DrawAspect="Content" ObjectID="_1234567908" r:id="rId34"/>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20" o:spid="_x0000_i1044"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20" DrawAspect="Content" ObjectID="_1234567909" r:id="rId35"/>
        </w:object>
      </w:r>
      <w:r>
        <w:rPr>
          <w:rFonts w:ascii="Times New Roman" w:eastAsia="仿宋_GB2312" w:hAnsi="Times New Roman" w:cs="Times New Roman" w:hint="default"/>
          <w:snapToGrid w:val="0"/>
          <w:sz w:val="32"/>
          <w:szCs w:val="32"/>
        </w:rPr>
        <w:t>项生态环境绿色指标值，</w:t>
      </w:r>
      <w:r>
        <w:rPr>
          <w:rFonts w:ascii="Times New Roman" w:eastAsia="仿宋_GB2312" w:hAnsi="Times New Roman" w:cs="Times New Roman" w:hint="default"/>
          <w:snapToGrid w:val="0"/>
          <w:position w:val="0"/>
          <w:sz w:val="32"/>
          <w:szCs w:val="32"/>
        </w:rPr>
        <w:object>
          <v:shape id="对象 21" o:spid="_x0000_i1045" type="#_x0000_t75" style="width:27.14pt;height:18.34pt;mso-position-horizontal-relative:page;mso-position-vertical-relative:page;mso-wrap-style:square" o:oleicon="f" o:ole="" o:preferrelative="t" filled="f" stroked="f">
            <v:stroke joinstyle="miter" linestyle="single"/>
            <v:imagedata r:id="rId36" o:title=""/>
            <v:path o:extrusionok="f"/>
            <o:lock v:ext="edit" aspectratio="t"/>
          </v:shape>
          <o:OLEObject Type="Embed" ProgID="Equation.DSMT4" ShapeID="对象 21" DrawAspect="Content" ObjectID="_1234567910" r:id="rId37"/>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22" o:spid="_x0000_i1046"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22" DrawAspect="Content" ObjectID="_1234567911" r:id="rId38"/>
        </w:object>
      </w:r>
      <w:r>
        <w:rPr>
          <w:rFonts w:ascii="Times New Roman" w:eastAsia="仿宋_GB2312" w:hAnsi="Times New Roman" w:cs="Times New Roman" w:hint="default"/>
          <w:snapToGrid w:val="0"/>
          <w:sz w:val="32"/>
          <w:szCs w:val="32"/>
        </w:rPr>
        <w:t>项生态环境绿色指标</w:t>
      </w:r>
      <w:r>
        <w:rPr>
          <w:rFonts w:ascii="Times New Roman" w:eastAsia="仿宋_GB2312" w:hAnsi="Times New Roman" w:cs="Times New Roman" w:hint="default"/>
          <w:snapToGrid w:val="0"/>
          <w:sz w:val="32"/>
          <w:szCs w:val="32"/>
          <w:lang w:val="en-US" w:eastAsia="zh-CN"/>
        </w:rPr>
        <w:t>引领</w:t>
      </w:r>
      <w:r>
        <w:rPr>
          <w:rFonts w:ascii="Times New Roman" w:eastAsia="仿宋_GB2312" w:hAnsi="Times New Roman" w:cs="Times New Roman" w:hint="default"/>
          <w:snapToGrid w:val="0"/>
          <w:sz w:val="32"/>
          <w:szCs w:val="32"/>
        </w:rPr>
        <w:t>值；</w:t>
      </w:r>
    </w:p>
    <w:p>
      <w:pPr>
        <w:pStyle w:val="a"/>
        <w:widowControl w:val="0"/>
        <w:tabs>
          <w:tab w:val="center" w:pos="4201"/>
          <w:tab w:val="right" w:leader="dot" w:pos="9298"/>
        </w:tabs>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position w:val="0"/>
          <w:sz w:val="32"/>
          <w:szCs w:val="32"/>
        </w:rPr>
        <w:object>
          <v:shape id="对象 23" o:spid="_x0000_i1047" type="#_x0000_t75" style="width:23.76pt;height:18.34pt;mso-position-horizontal-relative:page;mso-position-vertical-relative:page;mso-wrap-style:square" o:oleicon="f" o:ole="" o:preferrelative="t" filled="f" stroked="f">
            <v:stroke joinstyle="miter" linestyle="single"/>
            <v:imagedata r:id="rId39" o:title=""/>
            <v:path o:extrusionok="f"/>
            <o:lock v:ext="edit" aspectratio="t"/>
          </v:shape>
          <o:OLEObject Type="Embed" ProgID="Equation.DSMT4" ShapeID="对象 23" DrawAspect="Content" ObjectID="_1234567912" r:id="rId40"/>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24" o:spid="_x0000_i1048"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24" DrawAspect="Content" ObjectID="_1234567913" r:id="rId41"/>
        </w:object>
      </w:r>
      <w:r>
        <w:rPr>
          <w:rFonts w:ascii="Times New Roman" w:eastAsia="仿宋_GB2312" w:hAnsi="Times New Roman" w:cs="Times New Roman" w:hint="default"/>
          <w:snapToGrid w:val="0"/>
          <w:sz w:val="32"/>
          <w:szCs w:val="32"/>
        </w:rPr>
        <w:t>项运行管理绿色</w:t>
      </w:r>
      <w:r>
        <w:rPr>
          <w:rFonts w:ascii="Times New Roman" w:eastAsia="仿宋_GB2312" w:hAnsi="Times New Roman" w:cs="Times New Roman" w:hint="default"/>
          <w:snapToGrid w:val="0"/>
          <w:sz w:val="32"/>
          <w:szCs w:val="32"/>
          <w:lang w:val="en-US" w:eastAsia="zh-CN"/>
        </w:rPr>
        <w:t>化</w:t>
      </w:r>
      <w:r>
        <w:rPr>
          <w:rFonts w:ascii="Times New Roman" w:eastAsia="仿宋_GB2312" w:hAnsi="Times New Roman" w:cs="Times New Roman" w:hint="default"/>
          <w:snapToGrid w:val="0"/>
          <w:sz w:val="32"/>
          <w:szCs w:val="32"/>
        </w:rPr>
        <w:t>指标值，</w:t>
      </w:r>
      <w:r>
        <w:rPr>
          <w:rFonts w:ascii="Times New Roman" w:eastAsia="仿宋_GB2312" w:hAnsi="Times New Roman" w:cs="Times New Roman" w:hint="default"/>
          <w:snapToGrid w:val="0"/>
          <w:position w:val="0"/>
          <w:sz w:val="32"/>
          <w:szCs w:val="32"/>
        </w:rPr>
        <w:object>
          <v:shape id="对象 25" o:spid="_x0000_i1049" type="#_x0000_t75" style="width:27.84pt;height:18.34pt;mso-position-horizontal-relative:page;mso-position-vertical-relative:page;mso-wrap-style:square" o:oleicon="f" o:ole="" o:preferrelative="t" filled="f" stroked="f">
            <v:stroke joinstyle="miter" linestyle="single"/>
            <v:imagedata r:id="rId42" o:title=""/>
            <v:path o:extrusionok="f"/>
            <o:lock v:ext="edit" aspectratio="t"/>
          </v:shape>
          <o:OLEObject Type="Embed" ProgID="Equation.DSMT4" ShapeID="对象 25" DrawAspect="Content" ObjectID="_1234567914" r:id="rId43"/>
        </w:object>
      </w:r>
      <w:r>
        <w:rPr>
          <w:rFonts w:ascii="Times New Roman" w:eastAsia="仿宋_GB2312" w:hAnsi="Times New Roman" w:cs="Times New Roman" w:hint="default"/>
          <w:snapToGrid w:val="0"/>
          <w:sz w:val="32"/>
          <w:szCs w:val="32"/>
        </w:rPr>
        <w:t>为第</w:t>
      </w:r>
      <w:r>
        <w:rPr>
          <w:rFonts w:ascii="Times New Roman" w:eastAsia="仿宋_GB2312" w:hAnsi="Times New Roman" w:cs="Times New Roman" w:hint="default"/>
          <w:snapToGrid w:val="0"/>
          <w:position w:val="0"/>
          <w:sz w:val="32"/>
          <w:szCs w:val="32"/>
        </w:rPr>
        <w:object>
          <v:shape id="对象 26" o:spid="_x0000_i1050" type="#_x0000_t75" style="width:6.81pt;height:12.92pt;mso-position-horizontal-relative:page;mso-position-vertical-relative:page;mso-wrap-style:square" o:oleicon="f" o:ole="" o:preferrelative="t" filled="f" stroked="f">
            <v:stroke joinstyle="miter" linestyle="single"/>
            <v:imagedata r:id="rId10" o:title=""/>
            <v:path o:extrusionok="f"/>
            <o:lock v:ext="edit" aspectratio="t"/>
          </v:shape>
          <o:OLEObject Type="Embed" ProgID="Equation.DSMT4" ShapeID="对象 26" DrawAspect="Content" ObjectID="_1234567915" r:id="rId44"/>
        </w:object>
      </w:r>
      <w:r>
        <w:rPr>
          <w:rFonts w:ascii="Times New Roman" w:eastAsia="仿宋_GB2312" w:hAnsi="Times New Roman" w:cs="Times New Roman" w:hint="default"/>
          <w:snapToGrid w:val="0"/>
          <w:sz w:val="32"/>
          <w:szCs w:val="32"/>
        </w:rPr>
        <w:t>项运行管理绿色指标</w:t>
      </w:r>
      <w:r>
        <w:rPr>
          <w:rFonts w:ascii="Times New Roman" w:eastAsia="仿宋_GB2312" w:hAnsi="Times New Roman" w:cs="Times New Roman" w:hint="default"/>
          <w:snapToGrid w:val="0"/>
          <w:sz w:val="32"/>
          <w:szCs w:val="32"/>
          <w:lang w:val="en-US" w:eastAsia="zh-CN"/>
        </w:rPr>
        <w:t>引领</w:t>
      </w:r>
      <w:r>
        <w:rPr>
          <w:rFonts w:ascii="Times New Roman" w:eastAsia="仿宋_GB2312" w:hAnsi="Times New Roman" w:cs="Times New Roman" w:hint="default"/>
          <w:snapToGrid w:val="0"/>
          <w:sz w:val="32"/>
          <w:szCs w:val="32"/>
        </w:rPr>
        <w:t>值。</w:t>
      </w:r>
    </w:p>
    <w:p>
      <w:pPr>
        <w:pStyle w:val="a"/>
        <w:widowControl w:val="0"/>
        <w:tabs>
          <w:tab w:val="center" w:pos="4201"/>
          <w:tab w:val="right" w:leader="dot" w:pos="9298"/>
        </w:tabs>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pPr>
        <w:ind w:firstLine="474" w:firstLineChars="148"/>
        <w:rPr>
          <w:rFonts w:ascii="Times New Roman" w:eastAsia="黑体" w:hAnsi="Times New Roman" w:cs="Times New Roman" w:hint="default"/>
          <w:bCs/>
          <w:snapToGrid w:val="0"/>
          <w:sz w:val="32"/>
          <w:szCs w:val="32"/>
        </w:rPr>
      </w:pPr>
      <w:r>
        <w:rPr>
          <w:rFonts w:ascii="Times New Roman" w:eastAsia="黑体" w:hAnsi="Times New Roman" w:cs="Times New Roman" w:hint="default"/>
          <w:bCs/>
          <w:snapToGrid w:val="0"/>
          <w:sz w:val="32"/>
          <w:szCs w:val="32"/>
        </w:rPr>
        <w:t>二、能源利用</w:t>
      </w:r>
      <w:r>
        <w:rPr>
          <w:rFonts w:ascii="Times New Roman" w:eastAsia="黑体" w:hAnsi="Times New Roman" w:cs="Times New Roman" w:hint="default"/>
          <w:bCs/>
          <w:snapToGrid w:val="0"/>
          <w:sz w:val="32"/>
          <w:szCs w:val="32"/>
          <w:lang w:val="en-US" w:eastAsia="zh-CN"/>
        </w:rPr>
        <w:t>化</w:t>
      </w:r>
      <w:r>
        <w:rPr>
          <w:rFonts w:ascii="Times New Roman" w:eastAsia="黑体" w:hAnsi="Times New Roman" w:cs="Times New Roman" w:hint="default"/>
          <w:bCs/>
          <w:snapToGrid w:val="0"/>
          <w:sz w:val="32"/>
          <w:szCs w:val="32"/>
        </w:rPr>
        <w:t>绿色指标（3个必选指标）</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能源利用绿色</w:t>
      </w:r>
      <w:r>
        <w:rPr>
          <w:rFonts w:ascii="Times New Roman" w:eastAsia="仿宋_GB2312" w:hAnsi="Times New Roman" w:cs="Times New Roman" w:hint="default"/>
          <w:snapToGrid w:val="0"/>
          <w:sz w:val="32"/>
          <w:szCs w:val="32"/>
          <w:lang w:val="en-US" w:eastAsia="zh-CN"/>
        </w:rPr>
        <w:t>化</w:t>
      </w:r>
      <w:r>
        <w:rPr>
          <w:rFonts w:ascii="Times New Roman" w:eastAsia="仿宋_GB2312" w:hAnsi="Times New Roman" w:cs="Times New Roman" w:hint="default"/>
          <w:snapToGrid w:val="0"/>
          <w:sz w:val="32"/>
          <w:szCs w:val="32"/>
        </w:rPr>
        <w:t>指标包括能源产出率和可再生能源使用比例、清洁能源使用率3个必选指标。</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（一）能源产出率（必选）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：指报告期内园区工业增加值与能源消耗总量的比值，该项指标越大，表明能源产出效率越高。能源主要包括原煤、原油、天然气、核电、水电、风电等一次能源。 工业增加值采用2010年不变价，下同。</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能源产出率= 园区工业增加值（万元不变价）/能源综合消耗总量（tce）。</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（二）可再生能源使用比例（必选）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园区内工业企业的可再生能源使用量与综合能耗总量的比值。可再生能源包括太阳能、水能、生物质能、地热能、氢能、波浪能等非化石能源。</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可再生能源使用比例（%）=工业企业可再生能源使用量（tce）/工业企业综合能耗总量（tce）x100%。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（三）清洁能源使用率（必选）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清洁能源使用率（%）=清洁能源使用量（tce）/终端能源消费总量（tce）</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黑体" w:hAnsi="Times New Roman" w:cs="Times New Roman" w:hint="default"/>
          <w:bCs/>
          <w:snapToGrid w:val="0"/>
          <w:sz w:val="32"/>
          <w:szCs w:val="32"/>
        </w:rPr>
      </w:pPr>
      <w:r>
        <w:rPr>
          <w:rFonts w:ascii="Times New Roman" w:eastAsia="黑体" w:hAnsi="Times New Roman" w:cs="Times New Roman" w:hint="default"/>
          <w:bCs/>
          <w:snapToGrid w:val="0"/>
          <w:sz w:val="32"/>
          <w:szCs w:val="32"/>
        </w:rPr>
        <w:t>三、资源利用绿色</w:t>
      </w:r>
      <w:r>
        <w:rPr>
          <w:rFonts w:ascii="Times New Roman" w:eastAsia="黑体" w:hAnsi="Times New Roman" w:cs="Times New Roman" w:hint="default"/>
          <w:bCs/>
          <w:snapToGrid w:val="0"/>
          <w:sz w:val="32"/>
          <w:szCs w:val="32"/>
          <w:lang w:val="en-US" w:eastAsia="zh-CN"/>
        </w:rPr>
        <w:t>化</w:t>
      </w:r>
      <w:r>
        <w:rPr>
          <w:rFonts w:ascii="Times New Roman" w:eastAsia="黑体" w:hAnsi="Times New Roman" w:cs="Times New Roman" w:hint="default"/>
          <w:bCs/>
          <w:snapToGrid w:val="0"/>
          <w:sz w:val="32"/>
          <w:szCs w:val="32"/>
        </w:rPr>
        <w:t>指标（4个必选指标+2个可选指标）</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资源利用绿色</w:t>
      </w:r>
      <w:r>
        <w:rPr>
          <w:rFonts w:ascii="Times New Roman" w:eastAsia="仿宋_GB2312" w:hAnsi="Times New Roman" w:cs="Times New Roman" w:hint="default"/>
          <w:snapToGrid w:val="0"/>
          <w:sz w:val="32"/>
          <w:szCs w:val="32"/>
          <w:lang w:val="en-US" w:eastAsia="zh-CN"/>
        </w:rPr>
        <w:t>化</w:t>
      </w:r>
      <w:r>
        <w:rPr>
          <w:rFonts w:ascii="Times New Roman" w:eastAsia="仿宋_GB2312" w:hAnsi="Times New Roman" w:cs="Times New Roman" w:hint="default"/>
          <w:snapToGrid w:val="0"/>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（一）水资源产出率（必选）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报告期内园区消耗单位新鲜水量所创造的工业增加值。工业用新鲜水量：指报告期内企业厂区内用于生产和生活的新鲜水量（生活用水单独计量且生活污水不与工业废水混排的除外），它等于企业从城市自来水取用的水量和企业自备水用量之和。</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水资源产出率= 园区工业增加值（万元不变价）/园区工业用新鲜水量（m</w:t>
      </w:r>
      <w:r>
        <w:rPr>
          <w:rFonts w:ascii="Times New Roman" w:eastAsia="仿宋_GB2312" w:hAnsi="Times New Roman" w:cs="Times New Roman" w:hint="default"/>
          <w:snapToGrid w:val="0"/>
          <w:sz w:val="32"/>
          <w:szCs w:val="32"/>
          <w:vertAlign w:val="superscript"/>
        </w:rPr>
        <w:t>3</w:t>
      </w:r>
      <w:r>
        <w:rPr>
          <w:rFonts w:ascii="Times New Roman" w:eastAsia="仿宋_GB2312" w:hAnsi="Times New Roman" w:cs="Times New Roman" w:hint="default"/>
          <w:snapToGrid w:val="0"/>
          <w:sz w:val="32"/>
          <w:szCs w:val="32"/>
        </w:rPr>
        <w:t>）。</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（二）土地资源产出率（必选）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土地产出率=园区工业增加值（万元不变价）/园区工业用地面积（km</w:t>
      </w:r>
      <w:r>
        <w:rPr>
          <w:rFonts w:ascii="Times New Roman" w:eastAsia="仿宋_GB2312" w:hAnsi="Times New Roman" w:cs="Times New Roman" w:hint="default"/>
          <w:snapToGrid w:val="0"/>
          <w:sz w:val="32"/>
          <w:szCs w:val="32"/>
          <w:vertAlign w:val="superscript"/>
        </w:rPr>
        <w:t>2</w:t>
      </w:r>
      <w:r>
        <w:rPr>
          <w:rFonts w:ascii="Times New Roman" w:eastAsia="仿宋_GB2312" w:hAnsi="Times New Roman" w:cs="Times New Roman" w:hint="default"/>
          <w:snapToGrid w:val="0"/>
          <w:sz w:val="32"/>
          <w:szCs w:val="32"/>
        </w:rPr>
        <w:t>）。</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（三）工业固体废弃物综合利用率（必选）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工业固体废物综合利用量占工业固体废物产生量(包括综合利用往年贮存量)的百分率。工业固体废物综合利用量指报告期内企业通过回收、加工、循环、交换等方式，从固体废物中提取或者使其转化为可以利用的资源、能源和其他原材料的固体废物量(包括当年利用往年的工业固体废物贮存量)，如用作农业肥料、生产建筑材料、筑路等。综合利用量由原产生固体废物的单位统计。</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工业固体废弃物综合利用率=工业固体废弃物综合利用量（t）/（工业固体废弃物产生量+综合利用往年贮存量(t)）</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（四）工业用水重复利用率（必选）</w:t>
      </w:r>
    </w:p>
    <w:p>
      <w:pPr>
        <w:ind w:firstLine="474" w:firstLineChars="148"/>
        <w:jc w:val="left"/>
        <w:rPr>
          <w:rFonts w:ascii="Times New Roman" w:eastAsia="仿宋_GB2312" w:hAnsi="Times New Roman" w:cs="Times New Roman" w:hint="default"/>
          <w:snapToGrid w:val="0"/>
          <w:sz w:val="32"/>
          <w:szCs w:val="32"/>
          <w:lang w:val="en-US" w:eastAsia="zh-CN"/>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：指工业重复用水量占工业用水总量的百分</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工业用水重复利用率=工业重复用水量（m</w:t>
      </w:r>
      <w:r>
        <w:rPr>
          <w:rFonts w:ascii="Times New Roman" w:eastAsia="仿宋_GB2312" w:hAnsi="Times New Roman" w:cs="Times New Roman" w:hint="default"/>
          <w:snapToGrid w:val="0"/>
          <w:sz w:val="32"/>
          <w:szCs w:val="32"/>
          <w:vertAlign w:val="superscript"/>
        </w:rPr>
        <w:t>3</w:t>
      </w:r>
      <w:r>
        <w:rPr>
          <w:rFonts w:ascii="Times New Roman" w:eastAsia="仿宋_GB2312" w:hAnsi="Times New Roman" w:cs="Times New Roman" w:hint="default"/>
          <w:snapToGrid w:val="0"/>
          <w:sz w:val="32"/>
          <w:szCs w:val="32"/>
        </w:rPr>
        <w:t>）/工业用水总量（m</w:t>
      </w:r>
      <w:r>
        <w:rPr>
          <w:rFonts w:ascii="Times New Roman" w:eastAsia="仿宋_GB2312" w:hAnsi="Times New Roman" w:cs="Times New Roman" w:hint="default"/>
          <w:snapToGrid w:val="0"/>
          <w:sz w:val="32"/>
          <w:szCs w:val="32"/>
          <w:vertAlign w:val="superscript"/>
        </w:rPr>
        <w:t>3</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（五）中水回用率（可选）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指园区内再生水的回用量与污水处理厂处理量的比值。其中，再生水（中水）是指二级达标水经再生工艺净化处理后，达到中水水质指标要求，满足某种使用要求的水。</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：中水</w:t>
      </w:r>
      <w:r>
        <w:rPr>
          <w:rFonts w:ascii="Times New Roman" w:eastAsia="仿宋_GB2312" w:hAnsi="Times New Roman" w:cs="Times New Roman" w:hint="eastAsia"/>
          <w:snapToGrid w:val="0"/>
          <w:sz w:val="32"/>
          <w:szCs w:val="32"/>
          <w:lang w:eastAsia="zh-CN"/>
        </w:rPr>
        <w:t>回</w:t>
      </w:r>
      <w:r>
        <w:rPr>
          <w:rFonts w:ascii="Times New Roman" w:eastAsia="仿宋_GB2312" w:hAnsi="Times New Roman" w:cs="Times New Roman" w:hint="default"/>
          <w:snapToGrid w:val="0"/>
          <w:sz w:val="32"/>
          <w:szCs w:val="32"/>
        </w:rPr>
        <w:t>用率（%）=园区再生水（中水）回用量（万吨）/园区污水处理厂处理量（万吨）</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（六）余热资源回收利用率（可选）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的过程。园区余热资源量按照GB/T 1028计算。</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：余热资源回收利用率（%）=回收利用的余热资源量（kJ）/园区总余热资源量（kJ）</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（七）废气资源回收利用率（可选）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废气资源回收利用率（%）=回收利用的废气资源量（万m</w:t>
      </w:r>
      <w:r>
        <w:rPr>
          <w:rFonts w:ascii="Times New Roman" w:eastAsia="仿宋_GB2312" w:hAnsi="Times New Roman" w:cs="Times New Roman" w:hint="default"/>
          <w:snapToGrid w:val="0"/>
          <w:sz w:val="32"/>
          <w:szCs w:val="32"/>
          <w:vertAlign w:val="superscript"/>
        </w:rPr>
        <w:t>3</w:t>
      </w:r>
      <w:r>
        <w:rPr>
          <w:rFonts w:ascii="Times New Roman" w:eastAsia="仿宋_GB2312" w:hAnsi="Times New Roman" w:cs="Times New Roman" w:hint="default"/>
          <w:snapToGrid w:val="0"/>
          <w:sz w:val="32"/>
          <w:szCs w:val="32"/>
        </w:rPr>
        <w:t>）/园区可回收利用总废气资源量（万m</w:t>
      </w:r>
      <w:r>
        <w:rPr>
          <w:rFonts w:ascii="Times New Roman" w:eastAsia="仿宋_GB2312" w:hAnsi="Times New Roman" w:cs="Times New Roman" w:hint="default"/>
          <w:snapToGrid w:val="0"/>
          <w:sz w:val="32"/>
          <w:szCs w:val="32"/>
          <w:vertAlign w:val="superscript"/>
        </w:rPr>
        <w:t>3</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（八）再生资源回收利用率（可选）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再生资源回收利用率（%）=再生资源循环利用量（万吨）/再生资源收集量（万吨）</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黑体" w:hAnsi="Times New Roman" w:cs="Times New Roman" w:hint="default"/>
          <w:bCs/>
          <w:snapToGrid w:val="0"/>
          <w:sz w:val="32"/>
          <w:szCs w:val="32"/>
        </w:rPr>
      </w:pPr>
      <w:r>
        <w:rPr>
          <w:rFonts w:ascii="Times New Roman" w:eastAsia="黑体" w:hAnsi="Times New Roman" w:cs="Times New Roman" w:hint="default"/>
          <w:bCs/>
          <w:snapToGrid w:val="0"/>
          <w:sz w:val="32"/>
          <w:szCs w:val="32"/>
        </w:rPr>
        <w:t>四、基础设施绿色</w:t>
      </w:r>
      <w:r>
        <w:rPr>
          <w:rFonts w:ascii="Times New Roman" w:eastAsia="黑体" w:hAnsi="Times New Roman" w:cs="Times New Roman" w:hint="default"/>
          <w:bCs/>
          <w:snapToGrid w:val="0"/>
          <w:sz w:val="32"/>
          <w:szCs w:val="32"/>
          <w:lang w:val="en-US" w:eastAsia="zh-CN"/>
        </w:rPr>
        <w:t>化</w:t>
      </w:r>
      <w:r>
        <w:rPr>
          <w:rFonts w:ascii="Times New Roman" w:eastAsia="黑体" w:hAnsi="Times New Roman" w:cs="Times New Roman" w:hint="default"/>
          <w:bCs/>
          <w:snapToGrid w:val="0"/>
          <w:sz w:val="32"/>
          <w:szCs w:val="32"/>
        </w:rPr>
        <w:t>指标（1个必选指标+2个可选指标）</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基础设施绿色</w:t>
      </w:r>
      <w:r>
        <w:rPr>
          <w:rFonts w:ascii="Times New Roman" w:eastAsia="仿宋_GB2312" w:hAnsi="Times New Roman" w:cs="Times New Roman" w:hint="default"/>
          <w:snapToGrid w:val="0"/>
          <w:sz w:val="32"/>
          <w:szCs w:val="32"/>
          <w:lang w:val="en-US" w:eastAsia="zh-CN"/>
        </w:rPr>
        <w:t>化</w:t>
      </w:r>
      <w:r>
        <w:rPr>
          <w:rFonts w:ascii="Times New Roman" w:eastAsia="仿宋_GB2312" w:hAnsi="Times New Roman" w:cs="Times New Roman" w:hint="default"/>
          <w:snapToGrid w:val="0"/>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（一）污水集中处理设施（必选）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园区内所有工业废水经预处理达到集中处理要求后进入安装有自动在线监控装置的污水集中处理设施（园区内或园区外）。</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（二）新建工业建筑中绿色建筑的比例（可选）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园区新建工业建筑中的绿色建筑是按照GB/T 50878-2013《绿色工业建筑评价标准》评价，获得二星及以上评级的工业建筑。</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新建工业建筑中绿色建筑的比例（%）=新建工业建筑中绿色建筑的面积（m</w:t>
      </w:r>
      <w:r>
        <w:rPr>
          <w:rFonts w:ascii="Times New Roman" w:eastAsia="仿宋_GB2312" w:hAnsi="Times New Roman" w:cs="Times New Roman" w:hint="default"/>
          <w:snapToGrid w:val="0"/>
          <w:sz w:val="32"/>
          <w:szCs w:val="32"/>
          <w:vertAlign w:val="superscript"/>
        </w:rPr>
        <w:t>2</w:t>
      </w:r>
      <w:r>
        <w:rPr>
          <w:rFonts w:ascii="Times New Roman" w:eastAsia="仿宋_GB2312" w:hAnsi="Times New Roman" w:cs="Times New Roman" w:hint="default"/>
          <w:snapToGrid w:val="0"/>
          <w:sz w:val="32"/>
          <w:szCs w:val="32"/>
        </w:rPr>
        <w:t>）/园区新建工业建筑面积</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（m</w:t>
      </w:r>
      <w:r>
        <w:rPr>
          <w:rFonts w:ascii="Times New Roman" w:eastAsia="仿宋_GB2312" w:hAnsi="Times New Roman" w:cs="Times New Roman" w:hint="default"/>
          <w:snapToGrid w:val="0"/>
          <w:sz w:val="32"/>
          <w:szCs w:val="32"/>
          <w:vertAlign w:val="superscript"/>
        </w:rPr>
        <w:t>2</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（三）新建公共建筑中绿色建筑的比例（可选）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园区新建公共建筑中的绿色建筑是按照GB/T 50378-2014 《绿色建筑评价标准》评价，获得二星及以上评级的公共建筑。</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：新建公共建筑中绿色建筑的比例（%）=新建公共建筑中绿色建筑的面积（m</w:t>
      </w:r>
      <w:r>
        <w:rPr>
          <w:rFonts w:ascii="Times New Roman" w:eastAsia="仿宋_GB2312" w:hAnsi="Times New Roman" w:cs="Times New Roman" w:hint="default"/>
          <w:snapToGrid w:val="0"/>
          <w:sz w:val="32"/>
          <w:szCs w:val="32"/>
          <w:vertAlign w:val="superscript"/>
        </w:rPr>
        <w:t>2</w:t>
      </w:r>
      <w:r>
        <w:rPr>
          <w:rFonts w:ascii="Times New Roman" w:eastAsia="仿宋_GB2312" w:hAnsi="Times New Roman" w:cs="Times New Roman" w:hint="default"/>
          <w:snapToGrid w:val="0"/>
          <w:sz w:val="32"/>
          <w:szCs w:val="32"/>
        </w:rPr>
        <w:t>）/园区新建公共建筑面积</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（m</w:t>
      </w:r>
      <w:r>
        <w:rPr>
          <w:rFonts w:ascii="Times New Roman" w:eastAsia="仿宋_GB2312" w:hAnsi="Times New Roman" w:cs="Times New Roman" w:hint="default"/>
          <w:snapToGrid w:val="0"/>
          <w:sz w:val="32"/>
          <w:szCs w:val="32"/>
          <w:vertAlign w:val="superscript"/>
        </w:rPr>
        <w:t>2</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（四）500米公交站点覆盖率（可选）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园区公共交通车站服务覆盖面积的总和占园区建成区面积的百分比。</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具体根据GB 50220计算。</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（五）节能与新能源公交车比例（可选）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节能与新能源公交车比例（%）=节能与新能源公交车数量（辆）/园区公交车总量（辆）</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黑体" w:hAnsi="Times New Roman" w:cs="Times New Roman" w:hint="default"/>
          <w:bCs/>
          <w:snapToGrid w:val="0"/>
          <w:sz w:val="32"/>
          <w:szCs w:val="32"/>
        </w:rPr>
      </w:pPr>
      <w:r>
        <w:rPr>
          <w:rFonts w:ascii="Times New Roman" w:eastAsia="黑体" w:hAnsi="Times New Roman" w:cs="Times New Roman" w:hint="default"/>
          <w:bCs/>
          <w:snapToGrid w:val="0"/>
          <w:sz w:val="32"/>
          <w:szCs w:val="32"/>
        </w:rPr>
        <w:t>五、产业绿色</w:t>
      </w:r>
      <w:r>
        <w:rPr>
          <w:rFonts w:ascii="Times New Roman" w:eastAsia="黑体" w:hAnsi="Times New Roman" w:cs="Times New Roman" w:hint="default"/>
          <w:bCs/>
          <w:snapToGrid w:val="0"/>
          <w:sz w:val="32"/>
          <w:szCs w:val="32"/>
          <w:lang w:val="en-US" w:eastAsia="zh-CN"/>
        </w:rPr>
        <w:t>化</w:t>
      </w:r>
      <w:r>
        <w:rPr>
          <w:rFonts w:ascii="Times New Roman" w:eastAsia="黑体" w:hAnsi="Times New Roman" w:cs="Times New Roman" w:hint="default"/>
          <w:bCs/>
          <w:snapToGrid w:val="0"/>
          <w:sz w:val="32"/>
          <w:szCs w:val="32"/>
        </w:rPr>
        <w:t>指标（2个必选指标+1个可选指标）</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产业绿色</w:t>
      </w:r>
      <w:r>
        <w:rPr>
          <w:rFonts w:ascii="Times New Roman" w:eastAsia="仿宋_GB2312" w:hAnsi="Times New Roman" w:cs="Times New Roman" w:hint="default"/>
          <w:snapToGrid w:val="0"/>
          <w:sz w:val="32"/>
          <w:szCs w:val="32"/>
          <w:lang w:val="en-US" w:eastAsia="zh-CN"/>
        </w:rPr>
        <w:t>化</w:t>
      </w:r>
      <w:r>
        <w:rPr>
          <w:rFonts w:ascii="Times New Roman" w:eastAsia="仿宋_GB2312" w:hAnsi="Times New Roman" w:cs="Times New Roman" w:hint="default"/>
          <w:snapToGrid w:val="0"/>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（一）绿色产业增加值占园区工业增加值比例（必选）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园区内绿色产业的增加值与园区工业增加值的比值。其中，绿色产业增加值是依据国家统计局《战略性新兴产业分类（2012)》(试行)中关于节能环保产业和新能源产业的具体分类统计得到。</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绿色产业增加值占园区工业增加值比例（%）=绿色产业增加值（万元）/园区工业增加值（万元）</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（二）高新技术产业产值占园区工业总产值比例（必选）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园区内高新技术企业的工业总产值占园区工业总产值的比值。其中，高新技术企业是指依据《高新技术企业认定管理办法》认定的工业范畴的高新技术企业。</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高新技术产业产值占园区工业总产值比例</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（%）=高新技术企业的工业产值之和（万元）/工业园区工业总产值（万元）</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（三）人均工业增加值（可选）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园区工业增加值与园区内工业企业从业人数的比值。</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人均工业增加值（万元/人）=园区工业增加值（万元）/园区年末工业企业从业人数（人）。</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（四）现代服务业比例（可选）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务）、个人消费服务（包括教育、医疗保健、住宿、餐饮、文化娱乐、旅游、房地产、商品零售等）和公共服务（包括政府的公共管理服务、基础教育、公共卫生、医疗以及公益性信息服务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现代服务业比例（%）=现代服务业增加值（万元）/园区GDP</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黑体" w:hAnsi="Times New Roman" w:cs="Times New Roman" w:hint="default"/>
          <w:bCs/>
          <w:snapToGrid w:val="0"/>
          <w:sz w:val="32"/>
          <w:szCs w:val="32"/>
        </w:rPr>
      </w:pPr>
      <w:r>
        <w:rPr>
          <w:rFonts w:ascii="Times New Roman" w:eastAsia="黑体" w:hAnsi="Times New Roman" w:cs="Times New Roman" w:hint="default"/>
          <w:bCs/>
          <w:snapToGrid w:val="0"/>
          <w:sz w:val="32"/>
          <w:szCs w:val="32"/>
        </w:rPr>
        <w:t>六、生态环境绿色</w:t>
      </w:r>
      <w:r>
        <w:rPr>
          <w:rFonts w:ascii="Times New Roman" w:eastAsia="黑体" w:hAnsi="Times New Roman" w:cs="Times New Roman" w:hint="default"/>
          <w:bCs/>
          <w:snapToGrid w:val="0"/>
          <w:sz w:val="32"/>
          <w:szCs w:val="32"/>
          <w:lang w:val="en-US" w:eastAsia="zh-CN"/>
        </w:rPr>
        <w:t>化</w:t>
      </w:r>
      <w:r>
        <w:rPr>
          <w:rFonts w:ascii="Times New Roman" w:eastAsia="黑体" w:hAnsi="Times New Roman" w:cs="Times New Roman" w:hint="default"/>
          <w:bCs/>
          <w:snapToGrid w:val="0"/>
          <w:sz w:val="32"/>
          <w:szCs w:val="32"/>
        </w:rPr>
        <w:t>指标（</w:t>
      </w:r>
      <w:r>
        <w:rPr>
          <w:rFonts w:ascii="Times New Roman" w:eastAsia="黑体" w:hAnsi="Times New Roman" w:cs="Times New Roman" w:hint="default"/>
          <w:bCs/>
          <w:snapToGrid w:val="0"/>
          <w:sz w:val="32"/>
          <w:szCs w:val="32"/>
          <w:lang w:val="en-US" w:eastAsia="zh-CN"/>
        </w:rPr>
        <w:t>5</w:t>
      </w:r>
      <w:r>
        <w:rPr>
          <w:rFonts w:ascii="Times New Roman" w:eastAsia="黑体" w:hAnsi="Times New Roman" w:cs="Times New Roman" w:hint="default"/>
          <w:bCs/>
          <w:snapToGrid w:val="0"/>
          <w:sz w:val="32"/>
          <w:szCs w:val="32"/>
        </w:rPr>
        <w:t>个必选指标+1个可选指标）</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生态环境绿色</w:t>
      </w:r>
      <w:r>
        <w:rPr>
          <w:rFonts w:ascii="Times New Roman" w:eastAsia="仿宋_GB2312" w:hAnsi="Times New Roman" w:cs="Times New Roman" w:hint="default"/>
          <w:snapToGrid w:val="0"/>
          <w:sz w:val="32"/>
          <w:szCs w:val="32"/>
          <w:lang w:val="en-US" w:eastAsia="zh-CN"/>
        </w:rPr>
        <w:t>化</w:t>
      </w:r>
      <w:r>
        <w:rPr>
          <w:rFonts w:ascii="Times New Roman" w:eastAsia="仿宋_GB2312" w:hAnsi="Times New Roman" w:cs="Times New Roman" w:hint="default"/>
          <w:snapToGrid w:val="0"/>
          <w:sz w:val="32"/>
          <w:szCs w:val="32"/>
        </w:rPr>
        <w:t>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（一）工业固体废弃物（含危废）处置利用率（必选）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园区范围内各工业企业安全处置、综合利用及安全贮存的工业固体废物量（含危险废物）之和与当年工业固体废物总产生量的比值。</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工业固体废弃物（含危废）处置利用率（%）=园区当年工业固体废物处置利用量（含危险废物）（t）/园区当年工业固体废物总产生量（t）</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（二）万元工业增加值碳排放量消减率（必选）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园区内工业企业产生单位工业增加值所排放的二氧化碳当量的创建期年均消减率。创建期是指绿色园区创建周期。</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万元工业增加值碳排放量消减率（%）=[1-（验收年单位工业增加值二氧化碳排放量(tCO2eq./万元)/创建基准年单位工业增加值二氧化碳排放量(tCO2eq./万元)）</w:t>
      </w:r>
      <w:r>
        <w:rPr>
          <w:rFonts w:ascii="Times New Roman" w:eastAsia="仿宋_GB2312" w:hAnsi="Times New Roman" w:cs="Times New Roman" w:hint="default"/>
          <w:snapToGrid w:val="0"/>
          <w:sz w:val="32"/>
          <w:szCs w:val="32"/>
          <w:vertAlign w:val="superscript"/>
        </w:rPr>
        <w:t>1/创建周期</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（三）单位工业增加值废水排放量（必选）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指园区单位工业增加值排放的工业废水量，不包括企业梯级利用的废水和园区内居民排放的生活废水。</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：单位工业增加值废水排放量（t/万元）=园区工业废水排放总量（t）/园区工业增加值总量（万元）。</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（四）主要污染物弹性系数（必选）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：指园区内工业企业排放的各类主要污染物排放弹性系数的算术平均值。其中，主要污染物指从创建基准年到验收年，国家政策明确要求总量减排和控制的污染物，包括COD、SO</w:t>
      </w:r>
      <w:r>
        <w:rPr>
          <w:rFonts w:ascii="Times New Roman" w:eastAsia="仿宋_GB2312" w:hAnsi="Times New Roman" w:cs="Times New Roman" w:hint="default"/>
          <w:snapToGrid w:val="0"/>
          <w:sz w:val="32"/>
          <w:szCs w:val="32"/>
          <w:vertAlign w:val="subscript"/>
        </w:rPr>
        <w:t>2</w:t>
      </w:r>
      <w:r>
        <w:rPr>
          <w:rFonts w:ascii="Times New Roman" w:eastAsia="仿宋_GB2312" w:hAnsi="Times New Roman" w:cs="Times New Roman" w:hint="default"/>
          <w:snapToGrid w:val="0"/>
          <w:sz w:val="32"/>
          <w:szCs w:val="32"/>
        </w:rPr>
        <w:t>、氨氮、NO</w:t>
      </w:r>
      <w:r>
        <w:rPr>
          <w:rFonts w:ascii="Times New Roman" w:eastAsia="仿宋_GB2312" w:hAnsi="Times New Roman" w:cs="Times New Roman" w:hint="default"/>
          <w:snapToGrid w:val="0"/>
          <w:sz w:val="32"/>
          <w:szCs w:val="32"/>
          <w:vertAlign w:val="subscript"/>
        </w:rPr>
        <w:t>X</w:t>
      </w:r>
      <w:r>
        <w:rPr>
          <w:rFonts w:ascii="Times New Roman" w:eastAsia="仿宋_GB2312" w:hAnsi="Times New Roman" w:cs="Times New Roman" w:hint="default"/>
          <w:snapToGrid w:val="0"/>
          <w:sz w:val="32"/>
          <w:szCs w:val="32"/>
        </w:rPr>
        <w:t xml:space="preserve"> 等。某种主要污染物排放弹性系数，指园区内工业企业排放的某一种主要污染物排放总量的三年年均增长率与工业增加值三年年均增长率的比值。</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w:t>
      </w:r>
      <w:r>
        <w:rPr>
          <w:rFonts w:ascii="Times New Roman" w:eastAsia="楷体_GB2312" w:hAnsi="Times New Roman" w:cs="Times New Roman" w:hint="default"/>
          <w:snapToGrid w:val="0"/>
          <w:sz w:val="32"/>
          <w:szCs w:val="32"/>
          <w:lang w:val="en-US" w:eastAsia="zh-CN"/>
        </w:rPr>
        <w:t>五</w:t>
      </w:r>
      <w:r>
        <w:rPr>
          <w:rFonts w:ascii="Times New Roman" w:eastAsia="楷体_GB2312" w:hAnsi="Times New Roman" w:cs="Times New Roman" w:hint="default"/>
          <w:snapToGrid w:val="0"/>
          <w:sz w:val="32"/>
          <w:szCs w:val="32"/>
        </w:rPr>
        <w:t>）园区空气质量优良率（必选）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指空气质量优良天数占全年天数的比例。空气质量优良等级按照GB3085《环境空气质量标准》确定。</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w:t>
      </w:r>
      <w:r>
        <w:rPr>
          <w:rFonts w:ascii="Times New Roman" w:eastAsia="楷体_GB2312" w:hAnsi="Times New Roman" w:cs="Times New Roman" w:hint="default"/>
          <w:snapToGrid w:val="0"/>
          <w:sz w:val="32"/>
          <w:szCs w:val="32"/>
          <w:lang w:val="en-US" w:eastAsia="zh-CN"/>
        </w:rPr>
        <w:t>六</w:t>
      </w:r>
      <w:r>
        <w:rPr>
          <w:rFonts w:ascii="Times New Roman" w:eastAsia="楷体_GB2312" w:hAnsi="Times New Roman" w:cs="Times New Roman" w:hint="default"/>
          <w:snapToGrid w:val="0"/>
          <w:sz w:val="32"/>
          <w:szCs w:val="32"/>
        </w:rPr>
        <w:t>）绿化覆盖率（</w:t>
      </w:r>
      <w:r>
        <w:rPr>
          <w:rFonts w:ascii="Times New Roman" w:eastAsia="楷体_GB2312" w:hAnsi="Times New Roman" w:cs="Times New Roman" w:hint="default"/>
          <w:snapToGrid w:val="0"/>
          <w:sz w:val="32"/>
          <w:szCs w:val="32"/>
          <w:lang w:val="en-US" w:eastAsia="zh-CN"/>
        </w:rPr>
        <w:t>可</w:t>
      </w:r>
      <w:r>
        <w:rPr>
          <w:rFonts w:ascii="Times New Roman" w:eastAsia="楷体_GB2312" w:hAnsi="Times New Roman" w:cs="Times New Roman" w:hint="default"/>
          <w:snapToGrid w:val="0"/>
          <w:sz w:val="32"/>
          <w:szCs w:val="32"/>
        </w:rPr>
        <w:t>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园区内各类</w:t>
      </w:r>
      <w:r>
        <w:rPr>
          <w:rFonts w:ascii="Times New Roman" w:eastAsia="仿宋_GB2312" w:hAnsi="Times New Roman" w:cs="Times New Roman" w:hint="default"/>
          <w:snapToGrid w:val="0"/>
          <w:sz w:val="32"/>
          <w:szCs w:val="32"/>
          <w:lang w:val="en-US" w:eastAsia="zh-CN"/>
        </w:rPr>
        <w:t>绿地总面积</w:t>
      </w:r>
      <w:r>
        <w:rPr>
          <w:rFonts w:ascii="Times New Roman" w:eastAsia="仿宋_GB2312" w:hAnsi="Times New Roman" w:cs="Times New Roman" w:hint="default"/>
          <w:snapToGrid w:val="0"/>
          <w:sz w:val="32"/>
          <w:szCs w:val="32"/>
        </w:rPr>
        <w:t>与园区规划范围内用地总面积的比值。</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绿色覆盖率（%）=园区内各类绿地总面积（m</w:t>
      </w:r>
      <w:r>
        <w:rPr>
          <w:rFonts w:ascii="Times New Roman" w:eastAsia="仿宋_GB2312" w:hAnsi="Times New Roman" w:cs="Times New Roman" w:hint="default"/>
          <w:snapToGrid w:val="0"/>
          <w:sz w:val="32"/>
          <w:szCs w:val="32"/>
          <w:vertAlign w:val="superscript"/>
        </w:rPr>
        <w:t>2</w:t>
      </w:r>
      <w:r>
        <w:rPr>
          <w:rFonts w:ascii="Times New Roman" w:eastAsia="仿宋_GB2312" w:hAnsi="Times New Roman" w:cs="Times New Roman" w:hint="default"/>
          <w:snapToGrid w:val="0"/>
          <w:sz w:val="32"/>
          <w:szCs w:val="32"/>
        </w:rPr>
        <w:t>）/园区用地总面积（m</w:t>
      </w:r>
      <w:r>
        <w:rPr>
          <w:rFonts w:ascii="Times New Roman" w:eastAsia="仿宋_GB2312" w:hAnsi="Times New Roman" w:cs="Times New Roman" w:hint="default"/>
          <w:snapToGrid w:val="0"/>
          <w:sz w:val="32"/>
          <w:szCs w:val="32"/>
          <w:vertAlign w:val="superscript"/>
        </w:rPr>
        <w:t>2</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（七）道路遮荫比例（可选）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指道路两旁树冠垂直投影遮蔽的总阴影面积与步行道路总面积的比值。</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道路遮荫比例（%）=道路两旁树冠垂直投影遮蔽的总阴影面积（m</w:t>
      </w:r>
      <w:r>
        <w:rPr>
          <w:rFonts w:ascii="Times New Roman" w:eastAsia="仿宋_GB2312" w:hAnsi="Times New Roman" w:cs="Times New Roman" w:hint="default"/>
          <w:snapToGrid w:val="0"/>
          <w:sz w:val="32"/>
          <w:szCs w:val="32"/>
          <w:vertAlign w:val="superscript"/>
        </w:rPr>
        <w:t>2</w:t>
      </w:r>
      <w:r>
        <w:rPr>
          <w:rFonts w:ascii="Times New Roman" w:eastAsia="仿宋_GB2312" w:hAnsi="Times New Roman" w:cs="Times New Roman" w:hint="default"/>
          <w:snapToGrid w:val="0"/>
          <w:sz w:val="32"/>
          <w:szCs w:val="32"/>
        </w:rPr>
        <w:t>）/步行道路总面积（m</w:t>
      </w:r>
      <w:r>
        <w:rPr>
          <w:rFonts w:ascii="Times New Roman" w:eastAsia="仿宋_GB2312" w:hAnsi="Times New Roman" w:cs="Times New Roman" w:hint="default"/>
          <w:snapToGrid w:val="0"/>
          <w:sz w:val="32"/>
          <w:szCs w:val="32"/>
          <w:vertAlign w:val="superscript"/>
        </w:rPr>
        <w:t>2</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（八）露天停车场遮荫比例（可选）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指标要求：</w:t>
      </w:r>
      <w:r>
        <w:rPr>
          <w:rFonts w:ascii="Times New Roman" w:eastAsia="仿宋_GB2312" w:hAnsi="Times New Roman" w:cs="Times New Roman" w:hint="default"/>
          <w:snapToGrid w:val="0"/>
          <w:sz w:val="32"/>
          <w:szCs w:val="32"/>
        </w:rPr>
        <w:t>露天停车场遮阴比例应达到80%。</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指露天停车场树冠垂直投影遮蔽的总阴影面积与露天停车场总面积的比值。</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计算公式：</w:t>
      </w:r>
      <w:r>
        <w:rPr>
          <w:rFonts w:ascii="Times New Roman" w:eastAsia="仿宋_GB2312" w:hAnsi="Times New Roman" w:cs="Times New Roman" w:hint="default"/>
          <w:snapToGrid w:val="0"/>
          <w:sz w:val="32"/>
          <w:szCs w:val="32"/>
        </w:rPr>
        <w:t>露天停车场遮荫比例（%）=露天停车场树冠垂直投影遮蔽的总阴影面积（m</w:t>
      </w:r>
      <w:r>
        <w:rPr>
          <w:rFonts w:ascii="Times New Roman" w:eastAsia="仿宋_GB2312" w:hAnsi="Times New Roman" w:cs="Times New Roman" w:hint="default"/>
          <w:snapToGrid w:val="0"/>
          <w:sz w:val="32"/>
          <w:szCs w:val="32"/>
          <w:vertAlign w:val="superscript"/>
        </w:rPr>
        <w:t>2</w:t>
      </w:r>
      <w:r>
        <w:rPr>
          <w:rFonts w:ascii="Times New Roman" w:eastAsia="仿宋_GB2312" w:hAnsi="Times New Roman" w:cs="Times New Roman" w:hint="default"/>
          <w:snapToGrid w:val="0"/>
          <w:sz w:val="32"/>
          <w:szCs w:val="32"/>
        </w:rPr>
        <w:t>）/露天停车场总面积（m</w:t>
      </w:r>
      <w:r>
        <w:rPr>
          <w:rFonts w:ascii="Times New Roman" w:eastAsia="仿宋_GB2312" w:hAnsi="Times New Roman" w:cs="Times New Roman" w:hint="default"/>
          <w:snapToGrid w:val="0"/>
          <w:sz w:val="32"/>
          <w:szCs w:val="32"/>
          <w:vertAlign w:val="superscript"/>
        </w:rPr>
        <w:t>2</w:t>
      </w:r>
      <w:r>
        <w:rPr>
          <w:rFonts w:ascii="Times New Roman" w:eastAsia="仿宋_GB2312" w:hAnsi="Times New Roman" w:cs="Times New Roman" w:hint="default"/>
          <w:snapToGrid w:val="0"/>
          <w:sz w:val="32"/>
          <w:szCs w:val="32"/>
        </w:rPr>
        <w:t>）</w:t>
      </w:r>
      <w:r>
        <w:rPr>
          <w:rFonts w:ascii="Times New Roman" w:hAnsi="Times New Roman" w:cs="Times New Roman" w:hint="default"/>
          <w:snapToGrid w:val="0"/>
          <w:color w:val="333333"/>
          <w:sz w:val="32"/>
          <w:szCs w:val="32"/>
          <w:shd w:val="clear" w:color="auto" w:fill="FFFFFF"/>
        </w:rPr>
        <w:t>×</w:t>
      </w:r>
      <w:r>
        <w:rPr>
          <w:rFonts w:ascii="Times New Roman" w:eastAsia="仿宋_GB2312" w:hAnsi="Times New Roman" w:cs="Times New Roman" w:hint="default"/>
          <w:snapToGrid w:val="0"/>
          <w:sz w:val="32"/>
          <w:szCs w:val="32"/>
        </w:rPr>
        <w:t>100%。</w:t>
      </w:r>
    </w:p>
    <w:p>
      <w:pPr>
        <w:ind w:firstLine="474" w:firstLineChars="148"/>
        <w:rPr>
          <w:rFonts w:ascii="Times New Roman" w:eastAsia="黑体" w:hAnsi="Times New Roman" w:cs="Times New Roman" w:hint="default"/>
          <w:bCs/>
          <w:snapToGrid w:val="0"/>
          <w:sz w:val="32"/>
          <w:szCs w:val="32"/>
        </w:rPr>
      </w:pPr>
      <w:r>
        <w:rPr>
          <w:rFonts w:ascii="Times New Roman" w:eastAsia="黑体" w:hAnsi="Times New Roman" w:cs="Times New Roman" w:hint="default"/>
          <w:bCs/>
          <w:snapToGrid w:val="0"/>
          <w:sz w:val="32"/>
          <w:szCs w:val="32"/>
        </w:rPr>
        <w:t>七、运行管理绿色</w:t>
      </w:r>
      <w:r>
        <w:rPr>
          <w:rFonts w:ascii="Times New Roman" w:eastAsia="黑体" w:hAnsi="Times New Roman" w:cs="Times New Roman" w:hint="default"/>
          <w:bCs/>
          <w:snapToGrid w:val="0"/>
          <w:sz w:val="32"/>
          <w:szCs w:val="32"/>
          <w:lang w:val="en-US" w:eastAsia="zh-CN"/>
        </w:rPr>
        <w:t>化</w:t>
      </w:r>
      <w:r>
        <w:rPr>
          <w:rFonts w:ascii="Times New Roman" w:eastAsia="黑体" w:hAnsi="Times New Roman" w:cs="Times New Roman" w:hint="default"/>
          <w:bCs/>
          <w:snapToGrid w:val="0"/>
          <w:sz w:val="32"/>
          <w:szCs w:val="32"/>
        </w:rPr>
        <w:t>指标（3个必选指标）</w:t>
      </w:r>
    </w:p>
    <w:p>
      <w:pPr>
        <w:ind w:firstLine="474" w:firstLineChars="148"/>
        <w:rPr>
          <w:rFonts w:ascii="Times New Roman" w:eastAsia="仿宋_GB2312" w:hAnsi="Times New Roman" w:cs="Times New Roman" w:hint="default"/>
          <w:snapToGrid w:val="0"/>
          <w:sz w:val="32"/>
          <w:szCs w:val="32"/>
        </w:rPr>
      </w:pPr>
      <w:r>
        <w:rPr>
          <w:rFonts w:ascii="Times New Roman" w:eastAsia="仿宋_GB2312" w:hAnsi="Times New Roman" w:cs="Times New Roman" w:hint="default"/>
          <w:snapToGrid w:val="0"/>
          <w:sz w:val="32"/>
          <w:szCs w:val="32"/>
        </w:rPr>
        <w:t>运行管理绿色</w:t>
      </w:r>
      <w:r>
        <w:rPr>
          <w:rFonts w:ascii="Times New Roman" w:eastAsia="仿宋_GB2312" w:hAnsi="Times New Roman" w:cs="Times New Roman" w:hint="default"/>
          <w:snapToGrid w:val="0"/>
          <w:sz w:val="32"/>
          <w:szCs w:val="32"/>
          <w:lang w:val="en-US" w:eastAsia="zh-CN"/>
        </w:rPr>
        <w:t>化</w:t>
      </w:r>
      <w:r>
        <w:rPr>
          <w:rFonts w:ascii="Times New Roman" w:eastAsia="仿宋_GB2312" w:hAnsi="Times New Roman" w:cs="Times New Roman" w:hint="default"/>
          <w:snapToGrid w:val="0"/>
          <w:sz w:val="32"/>
          <w:szCs w:val="32"/>
        </w:rPr>
        <w:t>指标包括绿色园区标准体系完善程度、编制绿色园区发展规划、绿色园区信息平台完善程度3个必选指标。</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（一）绿色园区标准体系完善程度（必选）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主要考核是否建立与其产业链和主导产业相适应的绿色园区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474" w:firstLineChars="148"/>
        <w:rPr>
          <w:rFonts w:ascii="Times New Roman" w:eastAsia="仿宋_GB2312" w:hAnsi="Times New Roman" w:cs="Times New Roman" w:hint="default"/>
          <w:snapToGrid w:val="0"/>
          <w:sz w:val="32"/>
          <w:szCs w:val="32"/>
          <w:lang w:eastAsia="zh-CN"/>
        </w:rPr>
      </w:pPr>
      <w:r>
        <w:rPr>
          <w:rFonts w:ascii="Times New Roman" w:eastAsia="楷体_GB2312" w:hAnsi="Times New Roman" w:cs="Times New Roman" w:hint="default"/>
          <w:snapToGrid w:val="0"/>
          <w:sz w:val="32"/>
          <w:szCs w:val="32"/>
        </w:rPr>
        <w:t>（二）编制绿色园区发展规划（必选）</w:t>
      </w:r>
    </w:p>
    <w:p>
      <w:pPr>
        <w:ind w:firstLine="474" w:firstLineChars="148"/>
        <w:rPr>
          <w:rFonts w:ascii="Times New Roman" w:eastAsia="仿宋_GB2312"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按照本实施方案的创建内容编制绿色园区发展规划，原则上每五年编制一次。</w:t>
      </w:r>
    </w:p>
    <w:p>
      <w:pPr>
        <w:ind w:firstLine="474" w:firstLineChars="148"/>
        <w:rPr>
          <w:rFonts w:ascii="Times New Roman" w:eastAsia="楷体_GB2312" w:hAnsi="Times New Roman" w:cs="Times New Roman" w:hint="default"/>
          <w:snapToGrid w:val="0"/>
          <w:sz w:val="32"/>
          <w:szCs w:val="32"/>
        </w:rPr>
      </w:pPr>
      <w:r>
        <w:rPr>
          <w:rFonts w:ascii="Times New Roman" w:eastAsia="楷体_GB2312" w:hAnsi="Times New Roman" w:cs="Times New Roman" w:hint="default"/>
          <w:snapToGrid w:val="0"/>
          <w:sz w:val="32"/>
          <w:szCs w:val="32"/>
        </w:rPr>
        <w:t>（三）绿色园区信息平台完善程度（必选）</w:t>
      </w:r>
    </w:p>
    <w:p>
      <w:pPr>
        <w:ind w:firstLine="474" w:firstLineChars="148"/>
        <w:rPr>
          <w:rFonts w:ascii="Times New Roman" w:hAnsi="Times New Roman" w:cs="Times New Roman" w:hint="default"/>
          <w:snapToGrid w:val="0"/>
          <w:sz w:val="32"/>
          <w:szCs w:val="32"/>
        </w:rPr>
      </w:pPr>
      <w:r>
        <w:rPr>
          <w:rFonts w:ascii="Times New Roman" w:eastAsia="楷体_GB2312" w:hAnsi="Times New Roman" w:cs="Times New Roman" w:hint="default"/>
          <w:bCs/>
          <w:snapToGrid w:val="0"/>
          <w:sz w:val="32"/>
          <w:szCs w:val="32"/>
        </w:rPr>
        <w:t>指标解释：</w:t>
      </w:r>
      <w:r>
        <w:rPr>
          <w:rFonts w:ascii="Times New Roman" w:eastAsia="仿宋_GB2312" w:hAnsi="Times New Roman" w:cs="Times New Roman" w:hint="default"/>
          <w:snapToGrid w:val="0"/>
          <w:sz w:val="32"/>
          <w:szCs w:val="32"/>
        </w:rPr>
        <w:t>主要考核是否创建局域网；是否定期在园区管委会网站、局域网或相关网站上发布绿色园区建设和改造信息；是否在园区局域网上有园区主导行业清洁生产技术信息（主要包括原材料选择、节水、节能、环保等方面）、废物资源化技术信息、绿色建筑技术信息、绿色交通技术信息等。</w:t>
      </w:r>
    </w:p>
    <w:sectPr>
      <w:footerReference w:type="default" r:id="rId45"/>
      <w:type w:val="nextPage"/>
      <w:pgSz w:w="11906" w:h="16838"/>
      <w:pgMar w:top="1417" w:right="1587" w:bottom="1417" w:left="1701" w:header="851" w:footer="992" w:gutter="0"/>
      <w:paperSrc w:first="0" w:other="0"/>
      <w:pgNumType w:fmt="decimal"/>
      <w:cols w:space="720"/>
      <w:titlePg w:val="0"/>
      <w:rtlGutter w:val="0"/>
      <w:docGrid w:type="linesAndChars" w:linePitch="636" w:charSpace="20026"/>
    </w:sectPr>
  </w:body>
</w:document>
</file>

<file path=word/fontTable.xml><?xml version="1.0" encoding="utf-8"?>
<w:fonts xmlns:r="http://schemas.openxmlformats.org/officeDocument/2006/relationships" xmlns:w="http://schemas.openxmlformats.org/wordprocessingml/2006/main">
  <w:font w:name="Calibri">
    <w:altName w:val="DejaVu Sans"/>
    <w:panose1 w:val="020F0502020204030204"/>
    <w:charset w:val="86"/>
    <w:family w:val="swiss"/>
    <w:pitch w:val="default"/>
    <w:sig w:usb0="00000000" w:usb1="00000000" w:usb2="00000001" w:usb3="00000000" w:csb0="0000019F" w:csb1="00000000"/>
  </w:font>
  <w:font w:name="Times New Roman">
    <w:altName w:val="Nimbus Roman No9 L"/>
    <w:panose1 w:val="00000000000000000000"/>
    <w:charset w:val="00"/>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40001"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1" o:spid="_x0000_s2049" type="#_x0000_t202" style="width:2in;height:2in;margin-top:0.75pt;margin-left:0;mso-position-horizontal:outside;mso-position-horizontal-relative:margin;mso-wrap-style:none;position:absolute;v-text-anchor:top;z-index:251658240" filled="f" stroked="f" strokeweight="0.5pt">
          <v:fill o:detectmouseclick="t"/>
          <v:shadow color="gray"/>
          <o:lock v:ext="edit" aspectratio="f"/>
          <v:textbox style="layout-flow:horizontal;mso-fit-shape-to-text:t" inset="0,0,0,0">
            <w:txbxContent>
              <w:p>
                <w:pPr>
                  <w:pStyle w:val="Footer"/>
                  <w:tabs>
                    <w:tab w:val="center" w:pos="4153"/>
                    <w:tab w:val="right" w:pos="8306"/>
                  </w:tabs>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revisionView w:comments="1" w:formatting="1" w:inkAnnotations="1" w:insDel="1" w:markup="0"/>
  <w:trackRevisions/>
  <w:defaultTabStop w:val="420"/>
  <w:drawingGridHorizontalSpacing w:val="154"/>
  <w:drawingGridVerticalSpacing w:val="318"/>
  <w:displayHorizontalDrawingGridEvery w:val="2"/>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671B"/>
    <w:rsid w:val="A2FBD7EB"/>
    <w:rsid w:val="FBF406FB"/>
    <w:rsid w:val="FF7F87A4"/>
    <w:rsid w:val="FFF7C04B"/>
    <w:rsid w:val="00002B8B"/>
    <w:rsid w:val="00003150"/>
    <w:rsid w:val="00011051"/>
    <w:rsid w:val="000139AB"/>
    <w:rsid w:val="000161CF"/>
    <w:rsid w:val="00016DA8"/>
    <w:rsid w:val="00025590"/>
    <w:rsid w:val="00025C55"/>
    <w:rsid w:val="00026BF7"/>
    <w:rsid w:val="00042E98"/>
    <w:rsid w:val="000466F5"/>
    <w:rsid w:val="0006004A"/>
    <w:rsid w:val="00062C97"/>
    <w:rsid w:val="00070B89"/>
    <w:rsid w:val="000715D5"/>
    <w:rsid w:val="000757DD"/>
    <w:rsid w:val="00082EC7"/>
    <w:rsid w:val="00085F79"/>
    <w:rsid w:val="000865BE"/>
    <w:rsid w:val="0009191E"/>
    <w:rsid w:val="00092C0D"/>
    <w:rsid w:val="00097332"/>
    <w:rsid w:val="000A0B70"/>
    <w:rsid w:val="000A317B"/>
    <w:rsid w:val="000A35D5"/>
    <w:rsid w:val="000A52C9"/>
    <w:rsid w:val="000A5A81"/>
    <w:rsid w:val="000A78DB"/>
    <w:rsid w:val="000B4E2D"/>
    <w:rsid w:val="000C71A0"/>
    <w:rsid w:val="000D602D"/>
    <w:rsid w:val="000E462F"/>
    <w:rsid w:val="000E516F"/>
    <w:rsid w:val="000E57FD"/>
    <w:rsid w:val="000F2335"/>
    <w:rsid w:val="000F4ACD"/>
    <w:rsid w:val="000F5DD2"/>
    <w:rsid w:val="000F5DF3"/>
    <w:rsid w:val="00100334"/>
    <w:rsid w:val="00100BB5"/>
    <w:rsid w:val="00122F4E"/>
    <w:rsid w:val="001276F6"/>
    <w:rsid w:val="00141C4C"/>
    <w:rsid w:val="00147962"/>
    <w:rsid w:val="00151166"/>
    <w:rsid w:val="001555E6"/>
    <w:rsid w:val="001620AB"/>
    <w:rsid w:val="00164F6C"/>
    <w:rsid w:val="00174EA6"/>
    <w:rsid w:val="00180A45"/>
    <w:rsid w:val="00185353"/>
    <w:rsid w:val="001855AF"/>
    <w:rsid w:val="00187503"/>
    <w:rsid w:val="0019362E"/>
    <w:rsid w:val="0019715B"/>
    <w:rsid w:val="001A6481"/>
    <w:rsid w:val="001B28B6"/>
    <w:rsid w:val="001B4A8A"/>
    <w:rsid w:val="001B50F8"/>
    <w:rsid w:val="001C213C"/>
    <w:rsid w:val="001C5247"/>
    <w:rsid w:val="001C63AB"/>
    <w:rsid w:val="001D2C38"/>
    <w:rsid w:val="001E16CC"/>
    <w:rsid w:val="001E2E0F"/>
    <w:rsid w:val="001E690A"/>
    <w:rsid w:val="001F1C5D"/>
    <w:rsid w:val="001F506A"/>
    <w:rsid w:val="001F6C6E"/>
    <w:rsid w:val="00200649"/>
    <w:rsid w:val="00203226"/>
    <w:rsid w:val="002060F0"/>
    <w:rsid w:val="00217380"/>
    <w:rsid w:val="002231E5"/>
    <w:rsid w:val="002242FD"/>
    <w:rsid w:val="00224AA4"/>
    <w:rsid w:val="00224C63"/>
    <w:rsid w:val="00227309"/>
    <w:rsid w:val="00231617"/>
    <w:rsid w:val="00234746"/>
    <w:rsid w:val="00234CB7"/>
    <w:rsid w:val="00235666"/>
    <w:rsid w:val="00237435"/>
    <w:rsid w:val="0024785E"/>
    <w:rsid w:val="00247F1E"/>
    <w:rsid w:val="00255DC3"/>
    <w:rsid w:val="002703DA"/>
    <w:rsid w:val="00275173"/>
    <w:rsid w:val="00281F7D"/>
    <w:rsid w:val="0028390F"/>
    <w:rsid w:val="002844FB"/>
    <w:rsid w:val="002853D8"/>
    <w:rsid w:val="0028591D"/>
    <w:rsid w:val="0028646A"/>
    <w:rsid w:val="002943AB"/>
    <w:rsid w:val="002B0214"/>
    <w:rsid w:val="002B2942"/>
    <w:rsid w:val="002B6538"/>
    <w:rsid w:val="002C1BF4"/>
    <w:rsid w:val="002C7A46"/>
    <w:rsid w:val="002D5169"/>
    <w:rsid w:val="002D5BE8"/>
    <w:rsid w:val="002E4CE6"/>
    <w:rsid w:val="002E519D"/>
    <w:rsid w:val="002E7F18"/>
    <w:rsid w:val="0030063A"/>
    <w:rsid w:val="003046AA"/>
    <w:rsid w:val="0030500C"/>
    <w:rsid w:val="00306FD3"/>
    <w:rsid w:val="00314519"/>
    <w:rsid w:val="00317494"/>
    <w:rsid w:val="00317CE2"/>
    <w:rsid w:val="00320A49"/>
    <w:rsid w:val="003240C6"/>
    <w:rsid w:val="003243C6"/>
    <w:rsid w:val="00326265"/>
    <w:rsid w:val="00326709"/>
    <w:rsid w:val="0034024F"/>
    <w:rsid w:val="00342A47"/>
    <w:rsid w:val="0034709B"/>
    <w:rsid w:val="003474C9"/>
    <w:rsid w:val="003553C3"/>
    <w:rsid w:val="00356020"/>
    <w:rsid w:val="00360FDB"/>
    <w:rsid w:val="00363398"/>
    <w:rsid w:val="003712DB"/>
    <w:rsid w:val="00372950"/>
    <w:rsid w:val="00377EC7"/>
    <w:rsid w:val="00383337"/>
    <w:rsid w:val="003834A8"/>
    <w:rsid w:val="0038640F"/>
    <w:rsid w:val="003868E6"/>
    <w:rsid w:val="00391108"/>
    <w:rsid w:val="003917B5"/>
    <w:rsid w:val="00392346"/>
    <w:rsid w:val="00394833"/>
    <w:rsid w:val="003A12E3"/>
    <w:rsid w:val="003A1B98"/>
    <w:rsid w:val="003A62B8"/>
    <w:rsid w:val="003B44AA"/>
    <w:rsid w:val="003B67B2"/>
    <w:rsid w:val="003B7965"/>
    <w:rsid w:val="003C094E"/>
    <w:rsid w:val="003C4990"/>
    <w:rsid w:val="003F214E"/>
    <w:rsid w:val="003F5B14"/>
    <w:rsid w:val="004059D3"/>
    <w:rsid w:val="0041467D"/>
    <w:rsid w:val="00415A87"/>
    <w:rsid w:val="0042290C"/>
    <w:rsid w:val="004405D0"/>
    <w:rsid w:val="0044085F"/>
    <w:rsid w:val="00441F35"/>
    <w:rsid w:val="004439AB"/>
    <w:rsid w:val="00450E0E"/>
    <w:rsid w:val="00452AEC"/>
    <w:rsid w:val="00452C64"/>
    <w:rsid w:val="0045712A"/>
    <w:rsid w:val="00462644"/>
    <w:rsid w:val="00466386"/>
    <w:rsid w:val="00467427"/>
    <w:rsid w:val="0047142F"/>
    <w:rsid w:val="00477176"/>
    <w:rsid w:val="0047720E"/>
    <w:rsid w:val="00482470"/>
    <w:rsid w:val="0048339E"/>
    <w:rsid w:val="0049079F"/>
    <w:rsid w:val="004913CD"/>
    <w:rsid w:val="004913E0"/>
    <w:rsid w:val="00491EFE"/>
    <w:rsid w:val="004B2B45"/>
    <w:rsid w:val="004B6527"/>
    <w:rsid w:val="004B697E"/>
    <w:rsid w:val="004C0980"/>
    <w:rsid w:val="004C5DA0"/>
    <w:rsid w:val="004D06EA"/>
    <w:rsid w:val="004E0684"/>
    <w:rsid w:val="004E26C6"/>
    <w:rsid w:val="004E3441"/>
    <w:rsid w:val="00501361"/>
    <w:rsid w:val="00506CE8"/>
    <w:rsid w:val="00512F79"/>
    <w:rsid w:val="0051431C"/>
    <w:rsid w:val="0051781A"/>
    <w:rsid w:val="005234B2"/>
    <w:rsid w:val="00533C51"/>
    <w:rsid w:val="00534AF4"/>
    <w:rsid w:val="00543BE7"/>
    <w:rsid w:val="005444DF"/>
    <w:rsid w:val="00544910"/>
    <w:rsid w:val="00556BF1"/>
    <w:rsid w:val="00557CFC"/>
    <w:rsid w:val="00557FF7"/>
    <w:rsid w:val="00561911"/>
    <w:rsid w:val="00562E33"/>
    <w:rsid w:val="00565011"/>
    <w:rsid w:val="0058172F"/>
    <w:rsid w:val="00582E99"/>
    <w:rsid w:val="00583B24"/>
    <w:rsid w:val="005873D8"/>
    <w:rsid w:val="00587900"/>
    <w:rsid w:val="0059013A"/>
    <w:rsid w:val="0059095A"/>
    <w:rsid w:val="00593190"/>
    <w:rsid w:val="00593C47"/>
    <w:rsid w:val="00596B3C"/>
    <w:rsid w:val="005A0C84"/>
    <w:rsid w:val="005A24B8"/>
    <w:rsid w:val="005A3AD5"/>
    <w:rsid w:val="005A775A"/>
    <w:rsid w:val="005B1583"/>
    <w:rsid w:val="005B68B4"/>
    <w:rsid w:val="005B7241"/>
    <w:rsid w:val="005C23DE"/>
    <w:rsid w:val="005C741B"/>
    <w:rsid w:val="005D2B24"/>
    <w:rsid w:val="005D40D5"/>
    <w:rsid w:val="005D4249"/>
    <w:rsid w:val="005D6A94"/>
    <w:rsid w:val="005E76EF"/>
    <w:rsid w:val="005F1B47"/>
    <w:rsid w:val="005F3433"/>
    <w:rsid w:val="005F4D74"/>
    <w:rsid w:val="0060397B"/>
    <w:rsid w:val="006052B2"/>
    <w:rsid w:val="00605731"/>
    <w:rsid w:val="0061029F"/>
    <w:rsid w:val="0061595B"/>
    <w:rsid w:val="0061712E"/>
    <w:rsid w:val="00631C9F"/>
    <w:rsid w:val="00631FAA"/>
    <w:rsid w:val="0063247B"/>
    <w:rsid w:val="00634BC7"/>
    <w:rsid w:val="006361FF"/>
    <w:rsid w:val="00641801"/>
    <w:rsid w:val="006432C4"/>
    <w:rsid w:val="00655025"/>
    <w:rsid w:val="00666AE4"/>
    <w:rsid w:val="00671E6F"/>
    <w:rsid w:val="00674FA9"/>
    <w:rsid w:val="00675DBB"/>
    <w:rsid w:val="00684BE5"/>
    <w:rsid w:val="00684DE5"/>
    <w:rsid w:val="0069016E"/>
    <w:rsid w:val="00690611"/>
    <w:rsid w:val="00693922"/>
    <w:rsid w:val="006A4214"/>
    <w:rsid w:val="006A5251"/>
    <w:rsid w:val="006A583D"/>
    <w:rsid w:val="006A60C5"/>
    <w:rsid w:val="006A68F7"/>
    <w:rsid w:val="006B2B4A"/>
    <w:rsid w:val="006B3D77"/>
    <w:rsid w:val="006B5A0D"/>
    <w:rsid w:val="006B6B2E"/>
    <w:rsid w:val="006C1B56"/>
    <w:rsid w:val="006C2B4D"/>
    <w:rsid w:val="006D07F8"/>
    <w:rsid w:val="006D14CC"/>
    <w:rsid w:val="006D3538"/>
    <w:rsid w:val="006E66EB"/>
    <w:rsid w:val="006E7AD8"/>
    <w:rsid w:val="006F3541"/>
    <w:rsid w:val="0070339B"/>
    <w:rsid w:val="0071776F"/>
    <w:rsid w:val="007207C1"/>
    <w:rsid w:val="007207CF"/>
    <w:rsid w:val="00721B0F"/>
    <w:rsid w:val="007233EC"/>
    <w:rsid w:val="00730203"/>
    <w:rsid w:val="00736230"/>
    <w:rsid w:val="00737453"/>
    <w:rsid w:val="007407B6"/>
    <w:rsid w:val="007412E5"/>
    <w:rsid w:val="00742D9C"/>
    <w:rsid w:val="007455DE"/>
    <w:rsid w:val="007562A3"/>
    <w:rsid w:val="00757ACE"/>
    <w:rsid w:val="0076196E"/>
    <w:rsid w:val="0076200C"/>
    <w:rsid w:val="00762B6E"/>
    <w:rsid w:val="00772594"/>
    <w:rsid w:val="00773D8C"/>
    <w:rsid w:val="00773DF3"/>
    <w:rsid w:val="0077509A"/>
    <w:rsid w:val="007763DE"/>
    <w:rsid w:val="0078192D"/>
    <w:rsid w:val="007904BE"/>
    <w:rsid w:val="00794EBD"/>
    <w:rsid w:val="00795FA6"/>
    <w:rsid w:val="007963EF"/>
    <w:rsid w:val="007A0C19"/>
    <w:rsid w:val="007A0EB8"/>
    <w:rsid w:val="007A25E7"/>
    <w:rsid w:val="007A33CB"/>
    <w:rsid w:val="007A3D39"/>
    <w:rsid w:val="007A4433"/>
    <w:rsid w:val="007B4F8A"/>
    <w:rsid w:val="007B6B22"/>
    <w:rsid w:val="007C36F7"/>
    <w:rsid w:val="007C3F62"/>
    <w:rsid w:val="007D0C2D"/>
    <w:rsid w:val="007D0D46"/>
    <w:rsid w:val="007D1F02"/>
    <w:rsid w:val="007D6952"/>
    <w:rsid w:val="007D6BF3"/>
    <w:rsid w:val="007E3522"/>
    <w:rsid w:val="007E62D2"/>
    <w:rsid w:val="007F4C22"/>
    <w:rsid w:val="00801BF3"/>
    <w:rsid w:val="008043A7"/>
    <w:rsid w:val="008127B3"/>
    <w:rsid w:val="008167BF"/>
    <w:rsid w:val="00817C2B"/>
    <w:rsid w:val="00822259"/>
    <w:rsid w:val="008223C7"/>
    <w:rsid w:val="00824B33"/>
    <w:rsid w:val="0083291A"/>
    <w:rsid w:val="00836AF5"/>
    <w:rsid w:val="00846A28"/>
    <w:rsid w:val="00850E12"/>
    <w:rsid w:val="00853D2F"/>
    <w:rsid w:val="008542E5"/>
    <w:rsid w:val="00854E82"/>
    <w:rsid w:val="00855126"/>
    <w:rsid w:val="00855C59"/>
    <w:rsid w:val="008652FC"/>
    <w:rsid w:val="008673FE"/>
    <w:rsid w:val="00872A7A"/>
    <w:rsid w:val="008732A0"/>
    <w:rsid w:val="00874555"/>
    <w:rsid w:val="00882AF7"/>
    <w:rsid w:val="008937B2"/>
    <w:rsid w:val="00893C8F"/>
    <w:rsid w:val="0089666A"/>
    <w:rsid w:val="00896B40"/>
    <w:rsid w:val="008A3E22"/>
    <w:rsid w:val="008B66A7"/>
    <w:rsid w:val="008B7636"/>
    <w:rsid w:val="008C742F"/>
    <w:rsid w:val="008C7BE6"/>
    <w:rsid w:val="008D2427"/>
    <w:rsid w:val="008D4E01"/>
    <w:rsid w:val="008D5122"/>
    <w:rsid w:val="008D5D67"/>
    <w:rsid w:val="008E254B"/>
    <w:rsid w:val="008E3F23"/>
    <w:rsid w:val="008E6B7B"/>
    <w:rsid w:val="008F1EFB"/>
    <w:rsid w:val="008F305E"/>
    <w:rsid w:val="008F66C0"/>
    <w:rsid w:val="008F6A90"/>
    <w:rsid w:val="008F77FA"/>
    <w:rsid w:val="009020CB"/>
    <w:rsid w:val="00905BB3"/>
    <w:rsid w:val="00912FC8"/>
    <w:rsid w:val="00921FCB"/>
    <w:rsid w:val="00926F43"/>
    <w:rsid w:val="0094117D"/>
    <w:rsid w:val="00953658"/>
    <w:rsid w:val="00954884"/>
    <w:rsid w:val="00954E21"/>
    <w:rsid w:val="00956A8C"/>
    <w:rsid w:val="009617BC"/>
    <w:rsid w:val="00961A09"/>
    <w:rsid w:val="0096233F"/>
    <w:rsid w:val="00964D6B"/>
    <w:rsid w:val="009663E9"/>
    <w:rsid w:val="009674AE"/>
    <w:rsid w:val="00974E41"/>
    <w:rsid w:val="00975239"/>
    <w:rsid w:val="00991C4A"/>
    <w:rsid w:val="00994E63"/>
    <w:rsid w:val="00995354"/>
    <w:rsid w:val="009966AE"/>
    <w:rsid w:val="009A0F54"/>
    <w:rsid w:val="009A1E34"/>
    <w:rsid w:val="009A619E"/>
    <w:rsid w:val="009B70CE"/>
    <w:rsid w:val="009B7868"/>
    <w:rsid w:val="009C00CF"/>
    <w:rsid w:val="009C6222"/>
    <w:rsid w:val="009C7515"/>
    <w:rsid w:val="009D17CA"/>
    <w:rsid w:val="009D5AA1"/>
    <w:rsid w:val="009D7129"/>
    <w:rsid w:val="009D760B"/>
    <w:rsid w:val="009F2912"/>
    <w:rsid w:val="009F308E"/>
    <w:rsid w:val="00A035BD"/>
    <w:rsid w:val="00A04132"/>
    <w:rsid w:val="00A06E4E"/>
    <w:rsid w:val="00A144BD"/>
    <w:rsid w:val="00A2050D"/>
    <w:rsid w:val="00A27254"/>
    <w:rsid w:val="00A33FFC"/>
    <w:rsid w:val="00A44A98"/>
    <w:rsid w:val="00A453D6"/>
    <w:rsid w:val="00A50386"/>
    <w:rsid w:val="00A515CF"/>
    <w:rsid w:val="00A552EB"/>
    <w:rsid w:val="00A56C9C"/>
    <w:rsid w:val="00A86DC6"/>
    <w:rsid w:val="00AA5C54"/>
    <w:rsid w:val="00AB41E4"/>
    <w:rsid w:val="00AC3B9F"/>
    <w:rsid w:val="00AC71A1"/>
    <w:rsid w:val="00AD0A72"/>
    <w:rsid w:val="00AD38F7"/>
    <w:rsid w:val="00AD7DED"/>
    <w:rsid w:val="00AE1E10"/>
    <w:rsid w:val="00AE3885"/>
    <w:rsid w:val="00AE3C55"/>
    <w:rsid w:val="00AF0B51"/>
    <w:rsid w:val="00AF1D32"/>
    <w:rsid w:val="00AF3200"/>
    <w:rsid w:val="00B01312"/>
    <w:rsid w:val="00B04DE3"/>
    <w:rsid w:val="00B06B71"/>
    <w:rsid w:val="00B1110B"/>
    <w:rsid w:val="00B21373"/>
    <w:rsid w:val="00B23B90"/>
    <w:rsid w:val="00B27E8F"/>
    <w:rsid w:val="00B469EB"/>
    <w:rsid w:val="00B5382E"/>
    <w:rsid w:val="00B5423F"/>
    <w:rsid w:val="00B55925"/>
    <w:rsid w:val="00B5767E"/>
    <w:rsid w:val="00B63C6F"/>
    <w:rsid w:val="00B655BE"/>
    <w:rsid w:val="00B7124B"/>
    <w:rsid w:val="00B73806"/>
    <w:rsid w:val="00B7426B"/>
    <w:rsid w:val="00B746DC"/>
    <w:rsid w:val="00B7592F"/>
    <w:rsid w:val="00B93442"/>
    <w:rsid w:val="00B935B9"/>
    <w:rsid w:val="00B956D3"/>
    <w:rsid w:val="00B9658C"/>
    <w:rsid w:val="00BA15F1"/>
    <w:rsid w:val="00BA2AD4"/>
    <w:rsid w:val="00BA44D1"/>
    <w:rsid w:val="00BB1135"/>
    <w:rsid w:val="00BB1F87"/>
    <w:rsid w:val="00BB2454"/>
    <w:rsid w:val="00BB4EF3"/>
    <w:rsid w:val="00BB6B0B"/>
    <w:rsid w:val="00BB700B"/>
    <w:rsid w:val="00BC1453"/>
    <w:rsid w:val="00BC1AB2"/>
    <w:rsid w:val="00BC1E5E"/>
    <w:rsid w:val="00BC3C19"/>
    <w:rsid w:val="00BC6D77"/>
    <w:rsid w:val="00BD3711"/>
    <w:rsid w:val="00BD3D95"/>
    <w:rsid w:val="00BD3F7C"/>
    <w:rsid w:val="00BD4E0B"/>
    <w:rsid w:val="00BD5DB6"/>
    <w:rsid w:val="00BD60FB"/>
    <w:rsid w:val="00BD7E84"/>
    <w:rsid w:val="00BE0E29"/>
    <w:rsid w:val="00BE39F3"/>
    <w:rsid w:val="00BE3FA4"/>
    <w:rsid w:val="00BF0A87"/>
    <w:rsid w:val="00BF3079"/>
    <w:rsid w:val="00BF36BF"/>
    <w:rsid w:val="00C10A5E"/>
    <w:rsid w:val="00C113D1"/>
    <w:rsid w:val="00C11DF5"/>
    <w:rsid w:val="00C1233C"/>
    <w:rsid w:val="00C13D79"/>
    <w:rsid w:val="00C21C91"/>
    <w:rsid w:val="00C23458"/>
    <w:rsid w:val="00C273FD"/>
    <w:rsid w:val="00C32882"/>
    <w:rsid w:val="00C34B8B"/>
    <w:rsid w:val="00C42940"/>
    <w:rsid w:val="00C4349B"/>
    <w:rsid w:val="00C4781C"/>
    <w:rsid w:val="00C47B65"/>
    <w:rsid w:val="00C51EE0"/>
    <w:rsid w:val="00C53291"/>
    <w:rsid w:val="00C573BA"/>
    <w:rsid w:val="00C57DA2"/>
    <w:rsid w:val="00C61DE5"/>
    <w:rsid w:val="00C77E26"/>
    <w:rsid w:val="00C80394"/>
    <w:rsid w:val="00C857D5"/>
    <w:rsid w:val="00C870CF"/>
    <w:rsid w:val="00C96751"/>
    <w:rsid w:val="00CA3D71"/>
    <w:rsid w:val="00CA4AB8"/>
    <w:rsid w:val="00CA52B3"/>
    <w:rsid w:val="00CA7002"/>
    <w:rsid w:val="00CA7B0D"/>
    <w:rsid w:val="00CB2439"/>
    <w:rsid w:val="00CC1B6C"/>
    <w:rsid w:val="00CC34C3"/>
    <w:rsid w:val="00CC3D9C"/>
    <w:rsid w:val="00CC625A"/>
    <w:rsid w:val="00CD1AF4"/>
    <w:rsid w:val="00CD50DC"/>
    <w:rsid w:val="00CE12FB"/>
    <w:rsid w:val="00CE2C19"/>
    <w:rsid w:val="00CE3E1F"/>
    <w:rsid w:val="00CE4B4E"/>
    <w:rsid w:val="00D00670"/>
    <w:rsid w:val="00D0142F"/>
    <w:rsid w:val="00D0236A"/>
    <w:rsid w:val="00D13AA7"/>
    <w:rsid w:val="00D14021"/>
    <w:rsid w:val="00D14929"/>
    <w:rsid w:val="00D1671B"/>
    <w:rsid w:val="00D20420"/>
    <w:rsid w:val="00D213C8"/>
    <w:rsid w:val="00D22BFB"/>
    <w:rsid w:val="00D30E1E"/>
    <w:rsid w:val="00D31D50"/>
    <w:rsid w:val="00D34A2E"/>
    <w:rsid w:val="00D440BD"/>
    <w:rsid w:val="00D46EE1"/>
    <w:rsid w:val="00D61F2A"/>
    <w:rsid w:val="00D65B38"/>
    <w:rsid w:val="00D7012B"/>
    <w:rsid w:val="00D74746"/>
    <w:rsid w:val="00D850DB"/>
    <w:rsid w:val="00D8673E"/>
    <w:rsid w:val="00DA1B2E"/>
    <w:rsid w:val="00DA42C0"/>
    <w:rsid w:val="00DB0988"/>
    <w:rsid w:val="00DB1313"/>
    <w:rsid w:val="00DB177B"/>
    <w:rsid w:val="00DB1E28"/>
    <w:rsid w:val="00DB68C5"/>
    <w:rsid w:val="00DC6401"/>
    <w:rsid w:val="00DD0A97"/>
    <w:rsid w:val="00DD3676"/>
    <w:rsid w:val="00DE1EC8"/>
    <w:rsid w:val="00DE60F9"/>
    <w:rsid w:val="00DE750C"/>
    <w:rsid w:val="00E01D65"/>
    <w:rsid w:val="00E11457"/>
    <w:rsid w:val="00E20183"/>
    <w:rsid w:val="00E24018"/>
    <w:rsid w:val="00E3533D"/>
    <w:rsid w:val="00E36370"/>
    <w:rsid w:val="00E40ED1"/>
    <w:rsid w:val="00E44933"/>
    <w:rsid w:val="00E45F1E"/>
    <w:rsid w:val="00E50B22"/>
    <w:rsid w:val="00E5112E"/>
    <w:rsid w:val="00E53E7E"/>
    <w:rsid w:val="00E54D92"/>
    <w:rsid w:val="00E561CD"/>
    <w:rsid w:val="00E57451"/>
    <w:rsid w:val="00E67E43"/>
    <w:rsid w:val="00E704B9"/>
    <w:rsid w:val="00E744DB"/>
    <w:rsid w:val="00E767EE"/>
    <w:rsid w:val="00E84563"/>
    <w:rsid w:val="00E97CFC"/>
    <w:rsid w:val="00EA3E28"/>
    <w:rsid w:val="00EA58E8"/>
    <w:rsid w:val="00EB058E"/>
    <w:rsid w:val="00EB24D5"/>
    <w:rsid w:val="00EB470D"/>
    <w:rsid w:val="00EC04D2"/>
    <w:rsid w:val="00EC46EB"/>
    <w:rsid w:val="00EC7559"/>
    <w:rsid w:val="00EE2E55"/>
    <w:rsid w:val="00EF00F2"/>
    <w:rsid w:val="00EF2B0C"/>
    <w:rsid w:val="00EF3DAC"/>
    <w:rsid w:val="00EF657B"/>
    <w:rsid w:val="00EF6C4C"/>
    <w:rsid w:val="00F026AC"/>
    <w:rsid w:val="00F02C9F"/>
    <w:rsid w:val="00F10923"/>
    <w:rsid w:val="00F16386"/>
    <w:rsid w:val="00F167E7"/>
    <w:rsid w:val="00F17D33"/>
    <w:rsid w:val="00F20E07"/>
    <w:rsid w:val="00F2544A"/>
    <w:rsid w:val="00F27016"/>
    <w:rsid w:val="00F35913"/>
    <w:rsid w:val="00F4005B"/>
    <w:rsid w:val="00F41D87"/>
    <w:rsid w:val="00F41E9C"/>
    <w:rsid w:val="00F429E5"/>
    <w:rsid w:val="00F4501F"/>
    <w:rsid w:val="00F477BD"/>
    <w:rsid w:val="00F56D98"/>
    <w:rsid w:val="00F646AE"/>
    <w:rsid w:val="00F6649E"/>
    <w:rsid w:val="00F70BFA"/>
    <w:rsid w:val="00F74E8A"/>
    <w:rsid w:val="00F76B0C"/>
    <w:rsid w:val="00F81E44"/>
    <w:rsid w:val="00F873CA"/>
    <w:rsid w:val="00F977F1"/>
    <w:rsid w:val="00FA0F1D"/>
    <w:rsid w:val="00FA2FB6"/>
    <w:rsid w:val="00FA3A34"/>
    <w:rsid w:val="00FB7078"/>
    <w:rsid w:val="00FB7CF4"/>
    <w:rsid w:val="00FC0E53"/>
    <w:rsid w:val="00FC4634"/>
    <w:rsid w:val="00FC4ADA"/>
    <w:rsid w:val="00FD6537"/>
    <w:rsid w:val="00FE09A4"/>
    <w:rsid w:val="00FE1363"/>
    <w:rsid w:val="00FE7DE0"/>
    <w:rsid w:val="00FF26ED"/>
    <w:rsid w:val="00FF7ED9"/>
    <w:rsid w:val="0ED81832"/>
    <w:rsid w:val="2B003DB6"/>
    <w:rsid w:val="2B705280"/>
    <w:rsid w:val="34B25704"/>
    <w:rsid w:val="3DEC3700"/>
    <w:rsid w:val="3F4C1D72"/>
    <w:rsid w:val="3F7F895A"/>
    <w:rsid w:val="424C5FFA"/>
    <w:rsid w:val="456464A9"/>
    <w:rsid w:val="4AFD4374"/>
    <w:rsid w:val="4D1A70A7"/>
    <w:rsid w:val="572C541B"/>
    <w:rsid w:val="5FCB4B59"/>
    <w:rsid w:val="601D5E0C"/>
    <w:rsid w:val="6AC9286E"/>
    <w:rsid w:val="6B845E74"/>
    <w:rsid w:val="6B9C5CC8"/>
    <w:rsid w:val="6C9E3EB6"/>
    <w:rsid w:val="79494565"/>
    <w:rsid w:val="7DFE1404"/>
  </w:rsids>
  <w:docVars>
    <w:docVar w:name="commondata" w:val="eyJoZGlkIjoiNzU1NmFkYjM2ZjVlNjlhYTExODFlMTExZDY5YzQ0NzkifQ=="/>
  </w:docVars>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character" w:customStyle="1" w:styleId="1Char">
    <w:name w:val="标题 1 Char"/>
    <w:basedOn w:val="DefaultParagraphFont"/>
    <w:link w:val="Heading1"/>
    <w:uiPriority w:val="9"/>
    <w:qFormat/>
    <w:rPr>
      <w:rFonts w:ascii="宋体" w:eastAsia="宋体" w:hAnsi="宋体" w:cs="宋体"/>
      <w:b/>
      <w:bCs/>
      <w:kern w:val="36"/>
      <w:sz w:val="48"/>
      <w:szCs w:val="48"/>
    </w:rPr>
  </w:style>
  <w:style w:type="paragraph" w:styleId="CommentText">
    <w:name w:val="annotation text"/>
    <w:basedOn w:val="Normal"/>
    <w:link w:val="Char"/>
    <w:uiPriority w:val="99"/>
    <w:unhideWhenUsed/>
    <w:qFormat/>
    <w:pPr>
      <w:jc w:val="left"/>
    </w:pPr>
  </w:style>
  <w:style w:type="character" w:customStyle="1" w:styleId="Char">
    <w:name w:val="批注文字 Char"/>
    <w:basedOn w:val="DefaultParagraphFont"/>
    <w:link w:val="CommentText"/>
    <w:uiPriority w:val="99"/>
    <w:semiHidden/>
    <w:qFormat/>
    <w:rPr>
      <w:kern w:val="2"/>
      <w:sz w:val="21"/>
      <w:szCs w:val="22"/>
    </w:rPr>
  </w:style>
  <w:style w:type="paragraph" w:styleId="BalloonText">
    <w:name w:val="Balloon Text"/>
    <w:basedOn w:val="Normal"/>
    <w:link w:val="Char0"/>
    <w:uiPriority w:val="99"/>
    <w:unhideWhenUsed/>
    <w:qFormat/>
    <w:rPr>
      <w:sz w:val="18"/>
      <w:szCs w:val="18"/>
    </w:rPr>
  </w:style>
  <w:style w:type="character" w:customStyle="1" w:styleId="Char0">
    <w:name w:val="批注框文本 Char"/>
    <w:basedOn w:val="DefaultParagraphFont"/>
    <w:link w:val="BalloonText"/>
    <w:uiPriority w:val="99"/>
    <w:semiHidden/>
    <w:qFormat/>
    <w:rPr>
      <w:kern w:val="2"/>
      <w:sz w:val="18"/>
      <w:szCs w:val="18"/>
    </w:rPr>
  </w:style>
  <w:style w:type="paragraph" w:styleId="Footer">
    <w:name w:val="footer"/>
    <w:basedOn w:val="Normal"/>
    <w:uiPriority w:val="99"/>
    <w:unhideWhenUsed/>
    <w:qFormat/>
    <w:pPr>
      <w:tabs>
        <w:tab w:val="center" w:pos="4153"/>
        <w:tab w:val="right" w:pos="8306"/>
      </w:tabs>
      <w:snapToGrid w:val="0"/>
      <w:jc w:val="left"/>
    </w:pPr>
    <w:rPr>
      <w:sz w:val="18"/>
    </w:rPr>
  </w:style>
  <w:style w:type="paragraph" w:styleId="Header">
    <w:name w:val="header"/>
    <w:basedOn w:val="Normal"/>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CommentSubject">
    <w:name w:val="annotation subject"/>
    <w:basedOn w:val="CommentText"/>
    <w:next w:val="CommentText"/>
    <w:link w:val="Char1"/>
    <w:uiPriority w:val="99"/>
    <w:unhideWhenUsed/>
    <w:qFormat/>
    <w:rPr>
      <w:b/>
      <w:bCs/>
    </w:rPr>
  </w:style>
  <w:style w:type="character" w:customStyle="1" w:styleId="Char1">
    <w:name w:val="批注主题 Char"/>
    <w:basedOn w:val="Char"/>
    <w:link w:val="CommentSubject"/>
    <w:uiPriority w:val="99"/>
    <w:semiHidden/>
    <w:qFormat/>
    <w:rPr>
      <w:b/>
      <w:bCs/>
      <w:kern w:val="2"/>
      <w:sz w:val="21"/>
      <w:szCs w:val="22"/>
    </w:rPr>
  </w:style>
  <w:style w:type="table" w:styleId="TableGrid">
    <w:name w:val="Table Grid"/>
    <w:basedOn w:val="TableNormal"/>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unhideWhenUsed/>
    <w:qFormat/>
    <w:rPr>
      <w:sz w:val="21"/>
      <w:szCs w:val="21"/>
    </w:rPr>
  </w:style>
  <w:style w:type="paragraph" w:customStyle="1" w:styleId="a">
    <w:name w:val="段"/>
    <w:link w:val="Char2"/>
    <w:qFormat/>
    <w:pPr>
      <w:tabs>
        <w:tab w:val="center" w:pos="4201"/>
        <w:tab w:val="right" w:leader="dot" w:pos="9298"/>
      </w:tabs>
      <w:autoSpaceDE w:val="0"/>
      <w:autoSpaceDN w:val="0"/>
      <w:ind w:firstLine="420" w:firstLineChars="200"/>
      <w:jc w:val="both"/>
    </w:pPr>
    <w:rPr>
      <w:rFonts w:ascii="宋体" w:eastAsia="宋体" w:hAnsi="Times New Roman" w:cs="Times New Roman"/>
      <w:sz w:val="21"/>
      <w:lang w:val="en-US" w:eastAsia="zh-CN" w:bidi="ar-SA"/>
    </w:rPr>
  </w:style>
  <w:style w:type="character" w:customStyle="1" w:styleId="Char2">
    <w:name w:val="段 Char"/>
    <w:link w:val="a"/>
    <w:qFormat/>
    <w:rPr>
      <w:rFonts w:ascii="宋体" w:eastAsia="宋体" w:hAnsi="Times New Roman" w:cs="Times New Roman"/>
      <w:kern w:val="0"/>
      <w:szCs w:val="20"/>
    </w:rPr>
  </w:style>
  <w:style w:type="paragraph" w:customStyle="1" w:styleId="1">
    <w:name w:val="列出段落1"/>
    <w:basedOn w:val="Normal"/>
    <w:uiPriority w:val="34"/>
    <w:qFormat/>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1" Type="http://schemas.openxmlformats.org/officeDocument/2006/relationships/oleObject" Target="embeddings/oleObject4.bin" /><Relationship Id="rId12" Type="http://schemas.openxmlformats.org/officeDocument/2006/relationships/image" Target="media/image5.wmf" /><Relationship Id="rId13" Type="http://schemas.openxmlformats.org/officeDocument/2006/relationships/oleObject" Target="embeddings/oleObject5.bin" /><Relationship Id="rId14" Type="http://schemas.openxmlformats.org/officeDocument/2006/relationships/oleObject" Target="embeddings/oleObject6.bin" /><Relationship Id="rId15" Type="http://schemas.openxmlformats.org/officeDocument/2006/relationships/image" Target="media/image6.wmf" /><Relationship Id="rId16" Type="http://schemas.openxmlformats.org/officeDocument/2006/relationships/oleObject" Target="embeddings/oleObject7.bin" /><Relationship Id="rId17" Type="http://schemas.openxmlformats.org/officeDocument/2006/relationships/oleObject" Target="embeddings/oleObject8.bin" /><Relationship Id="rId18" Type="http://schemas.openxmlformats.org/officeDocument/2006/relationships/image" Target="media/image7.wmf" /><Relationship Id="rId19" Type="http://schemas.openxmlformats.org/officeDocument/2006/relationships/oleObject" Target="embeddings/oleObject9.bin" /><Relationship Id="rId2" Type="http://schemas.openxmlformats.org/officeDocument/2006/relationships/webSettings" Target="webSettings.xml" /><Relationship Id="rId20" Type="http://schemas.openxmlformats.org/officeDocument/2006/relationships/oleObject" Target="embeddings/oleObject10.bin" /><Relationship Id="rId21" Type="http://schemas.openxmlformats.org/officeDocument/2006/relationships/image" Target="media/image8.wmf" /><Relationship Id="rId22" Type="http://schemas.openxmlformats.org/officeDocument/2006/relationships/oleObject" Target="embeddings/oleObject11.bin" /><Relationship Id="rId23" Type="http://schemas.openxmlformats.org/officeDocument/2006/relationships/oleObject" Target="embeddings/oleObject12.bin" /><Relationship Id="rId24" Type="http://schemas.openxmlformats.org/officeDocument/2006/relationships/image" Target="media/image9.wmf" /><Relationship Id="rId25" Type="http://schemas.openxmlformats.org/officeDocument/2006/relationships/oleObject" Target="embeddings/oleObject13.bin" /><Relationship Id="rId26" Type="http://schemas.openxmlformats.org/officeDocument/2006/relationships/oleObject" Target="embeddings/oleObject14.bin" /><Relationship Id="rId27" Type="http://schemas.openxmlformats.org/officeDocument/2006/relationships/image" Target="media/image10.wmf" /><Relationship Id="rId28" Type="http://schemas.openxmlformats.org/officeDocument/2006/relationships/oleObject" Target="embeddings/oleObject15.bin" /><Relationship Id="rId29" Type="http://schemas.openxmlformats.org/officeDocument/2006/relationships/oleObject" Target="embeddings/oleObject16.bin" /><Relationship Id="rId3" Type="http://schemas.openxmlformats.org/officeDocument/2006/relationships/fontTable" Target="fontTable.xml" /><Relationship Id="rId30" Type="http://schemas.openxmlformats.org/officeDocument/2006/relationships/image" Target="media/image11.wmf" /><Relationship Id="rId31" Type="http://schemas.openxmlformats.org/officeDocument/2006/relationships/oleObject" Target="embeddings/oleObject17.bin" /><Relationship Id="rId32" Type="http://schemas.openxmlformats.org/officeDocument/2006/relationships/oleObject" Target="embeddings/oleObject18.bin" /><Relationship Id="rId33" Type="http://schemas.openxmlformats.org/officeDocument/2006/relationships/image" Target="media/image12.wmf" /><Relationship Id="rId34" Type="http://schemas.openxmlformats.org/officeDocument/2006/relationships/oleObject" Target="embeddings/oleObject19.bin" /><Relationship Id="rId35" Type="http://schemas.openxmlformats.org/officeDocument/2006/relationships/oleObject" Target="embeddings/oleObject20.bin" /><Relationship Id="rId36" Type="http://schemas.openxmlformats.org/officeDocument/2006/relationships/image" Target="media/image13.wmf" /><Relationship Id="rId37" Type="http://schemas.openxmlformats.org/officeDocument/2006/relationships/oleObject" Target="embeddings/oleObject21.bin" /><Relationship Id="rId38" Type="http://schemas.openxmlformats.org/officeDocument/2006/relationships/oleObject" Target="embeddings/oleObject22.bin" /><Relationship Id="rId39" Type="http://schemas.openxmlformats.org/officeDocument/2006/relationships/image" Target="media/image14.wmf" /><Relationship Id="rId4" Type="http://schemas.openxmlformats.org/officeDocument/2006/relationships/image" Target="media/image1.wmf" /><Relationship Id="rId40" Type="http://schemas.openxmlformats.org/officeDocument/2006/relationships/oleObject" Target="embeddings/oleObject23.bin" /><Relationship Id="rId41" Type="http://schemas.openxmlformats.org/officeDocument/2006/relationships/oleObject" Target="embeddings/oleObject24.bin" /><Relationship Id="rId42" Type="http://schemas.openxmlformats.org/officeDocument/2006/relationships/image" Target="media/image15.wmf" /><Relationship Id="rId43" Type="http://schemas.openxmlformats.org/officeDocument/2006/relationships/oleObject" Target="embeddings/oleObject25.bin" /><Relationship Id="rId44" Type="http://schemas.openxmlformats.org/officeDocument/2006/relationships/oleObject" Target="embeddings/oleObject26.bin" /><Relationship Id="rId45" Type="http://schemas.openxmlformats.org/officeDocument/2006/relationships/footer" Target="footer1.xml"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image" Target="media/image3.wmf" /><Relationship Id="rId9" Type="http://schemas.openxmlformats.org/officeDocument/2006/relationships/oleObject" Target="embeddings/oleObject3.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157268640</TotalTime>
  <Pages>17</Pages>
  <Words>1304</Words>
  <Characters>7436</Characters>
  <Application>Microsoft Office Word</Application>
  <DocSecurity>0</DocSecurity>
  <Lines>61</Lines>
  <Paragraphs>17</Paragraphs>
  <ScaleCrop>false</ScaleCrop>
  <Company>CNIS</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fuyun</dc:creator>
  <cp:lastModifiedBy>gxxc</cp:lastModifiedBy>
  <cp:revision>4</cp:revision>
  <cp:lastPrinted>2023-06-30T14:21:00Z</cp:lastPrinted>
  <dcterms:created xsi:type="dcterms:W3CDTF">2016-07-03T10:03:00Z</dcterms:created>
  <dcterms:modified xsi:type="dcterms:W3CDTF">2025-03-17T15:59:13Z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D64B58CD4B944F61989E0B5A9172E79A_13</vt:lpwstr>
  </property>
  <property fmtid="{D5CDD505-2E9C-101B-9397-08002B2CF9AE}" pid="3" name="KSOProductBuildVer">
    <vt:lpwstr>2052-11.8.2.9958</vt:lpwstr>
  </property>
  <property fmtid="{D5CDD505-2E9C-101B-9397-08002B2CF9AE}" pid="4" name="慧眼令牌">
    <vt:lpwstr>eyJraWQiOiJvYSIsInR5cCI6IkpXVCIsImFsZyI6IkhTMjU2In0.eyJzdWIiOiJPQS1MT0dJTiIsIm5iZiI6MTcxMjEwMTI4MiwiY29ycElkIjoiIiwiaXNzIjoiRVhPQSIsIm5hbWUiOiLlj6TmmKXmooUiLCJleHAiOjIwMjc0NjQ4ODIsImlhdCI6MTcxMjEwNDI4MiwidXNlcklkIjoxMzU4MiwianRpIjoib2EiLCJhY2NvdW50IjoiZ3VjbSJ9.ddUCbmC5H7baSQstm0IiIAJOFg6ylYLmzaWUxNNdhfg</vt:lpwstr>
  </property>
</Properties>
</file>