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用水企业、园区水效领跑者推荐表</w:t>
      </w:r>
    </w:p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/>
          <w:sz w:val="32"/>
          <w:szCs w:val="32"/>
          <w:lang w:eastAsia="zh-CN"/>
        </w:rPr>
        <w:t>重点</w:t>
      </w:r>
      <w:r>
        <w:rPr>
          <w:rFonts w:hint="eastAsia" w:ascii="黑体" w:hAnsi="黑体" w:eastAsia="黑体"/>
          <w:sz w:val="32"/>
          <w:szCs w:val="32"/>
        </w:rPr>
        <w:t>用水企业推荐表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填报单位（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省级水行政主管部门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after="157" w:afterLines="50"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联系人及电话：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970"/>
        <w:gridCol w:w="1591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/>
          <w:sz w:val="32"/>
          <w:szCs w:val="32"/>
          <w:lang w:eastAsia="zh-CN"/>
        </w:rPr>
        <w:t>重点</w:t>
      </w:r>
      <w:r>
        <w:rPr>
          <w:rFonts w:hint="eastAsia" w:ascii="黑体" w:hAnsi="黑体" w:eastAsia="黑体"/>
          <w:sz w:val="32"/>
          <w:szCs w:val="32"/>
        </w:rPr>
        <w:t>用水园区水效领跑者推荐表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填报单位（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省级水行政主管部门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after="157" w:afterLines="50"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联系人及电话：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是否获得国家级绿色园区称号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272D2F99"/>
    <w:rsid w:val="2E324A82"/>
    <w:rsid w:val="3FEF444A"/>
    <w:rsid w:val="4DDFE743"/>
    <w:rsid w:val="52747D7D"/>
    <w:rsid w:val="57EF22C6"/>
    <w:rsid w:val="6101064E"/>
    <w:rsid w:val="77BFDF54"/>
    <w:rsid w:val="7DEFBC64"/>
    <w:rsid w:val="7FD30AC2"/>
    <w:rsid w:val="B3FD9E17"/>
    <w:rsid w:val="BFFE9681"/>
    <w:rsid w:val="CD4F4B4A"/>
    <w:rsid w:val="D4AFA5CE"/>
    <w:rsid w:val="E9D60323"/>
    <w:rsid w:val="EEAB9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paragraph" w:customStyle="1" w:styleId="9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65</TotalTime>
  <ScaleCrop>false</ScaleCrop>
  <LinksUpToDate>false</LinksUpToDate>
  <CharactersWithSpaces>844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2017-08-07T07:43:00Z</dcterms:created>
  <dc:creator>user</dc:creator>
  <cp:lastModifiedBy>魏明杰</cp:lastModifiedBy>
  <cp:lastPrinted>2024-05-17T06:52:00Z</cp:lastPrinted>
  <dcterms:modified xsi:type="dcterms:W3CDTF">2024-05-23T08:15:17Z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</Properties>
</file>