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rFonts w:hint="eastAsia" w:ascii="仿宋_GB2312" w:hAnsi="仿宋_GB2312" w:cs="仿宋_GB2312"/>
          <w:b w:val="0"/>
          <w:bCs w:val="0"/>
          <w:color w:val="auto"/>
          <w:sz w:val="32"/>
          <w:szCs w:val="32"/>
          <w:lang w:val="en-US" w:eastAsia="zh-CN"/>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950"/>
        <w:gridCol w:w="1075"/>
        <w:gridCol w:w="1038"/>
        <w:gridCol w:w="1587"/>
        <w:gridCol w:w="1788"/>
        <w:gridCol w:w="3096"/>
        <w:gridCol w:w="1750"/>
        <w:gridCol w:w="80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58" w:type="dxa"/>
            <w:gridSpan w:val="4"/>
            <w:tcBorders>
              <w:top w:val="nil"/>
              <w:left w:val="nil"/>
              <w:bottom w:val="nil"/>
              <w:right w:val="nil"/>
            </w:tcBorders>
            <w:noWrap w:val="0"/>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color w:val="auto"/>
                <w:sz w:val="40"/>
                <w:szCs w:val="40"/>
                <w:u w:val="none"/>
              </w:rPr>
            </w:pPr>
            <w:r>
              <w:rPr>
                <w:rFonts w:hint="eastAsia" w:ascii="黑体" w:hAnsi="黑体" w:eastAsia="黑体" w:cs="黑体"/>
                <w:b w:val="0"/>
                <w:bCs w:val="0"/>
                <w:i w:val="0"/>
                <w:color w:val="auto"/>
                <w:kern w:val="2"/>
                <w:sz w:val="32"/>
                <w:szCs w:val="32"/>
                <w:u w:val="none"/>
                <w:lang w:val="en-US" w:eastAsia="zh-CN" w:bidi="ar"/>
              </w:rPr>
              <w:t>附表</w:t>
            </w:r>
          </w:p>
        </w:tc>
        <w:tc>
          <w:tcPr>
            <w:tcW w:w="1587" w:type="dxa"/>
            <w:tcBorders>
              <w:top w:val="nil"/>
              <w:left w:val="nil"/>
              <w:bottom w:val="nil"/>
              <w:right w:val="nil"/>
            </w:tcBorders>
            <w:noWrap w:val="0"/>
            <w:vAlign w:val="center"/>
          </w:tcPr>
          <w:p>
            <w:pPr>
              <w:spacing w:line="240" w:lineRule="auto"/>
              <w:jc w:val="left"/>
              <w:rPr>
                <w:rFonts w:hint="eastAsia" w:ascii="宋体" w:hAnsi="宋体" w:eastAsia="宋体" w:cs="宋体"/>
                <w:b w:val="0"/>
                <w:bCs w:val="0"/>
                <w:i w:val="0"/>
                <w:color w:val="auto"/>
                <w:sz w:val="24"/>
                <w:szCs w:val="24"/>
                <w:u w:val="none"/>
              </w:rPr>
            </w:pPr>
          </w:p>
        </w:tc>
        <w:tc>
          <w:tcPr>
            <w:tcW w:w="1788" w:type="dxa"/>
            <w:tcBorders>
              <w:top w:val="nil"/>
              <w:left w:val="nil"/>
              <w:bottom w:val="nil"/>
              <w:right w:val="nil"/>
            </w:tcBorders>
            <w:noWrap w:val="0"/>
            <w:vAlign w:val="center"/>
          </w:tcPr>
          <w:p>
            <w:pPr>
              <w:spacing w:line="240" w:lineRule="auto"/>
              <w:jc w:val="left"/>
              <w:rPr>
                <w:rFonts w:hint="eastAsia" w:ascii="宋体" w:hAnsi="宋体" w:eastAsia="宋体" w:cs="宋体"/>
                <w:b w:val="0"/>
                <w:bCs w:val="0"/>
                <w:i w:val="0"/>
                <w:color w:val="auto"/>
                <w:sz w:val="24"/>
                <w:szCs w:val="24"/>
                <w:u w:val="none"/>
              </w:rPr>
            </w:pPr>
          </w:p>
        </w:tc>
        <w:tc>
          <w:tcPr>
            <w:tcW w:w="3096" w:type="dxa"/>
            <w:tcBorders>
              <w:top w:val="nil"/>
              <w:left w:val="nil"/>
              <w:bottom w:val="nil"/>
              <w:right w:val="nil"/>
            </w:tcBorders>
            <w:noWrap w:val="0"/>
            <w:vAlign w:val="center"/>
          </w:tcPr>
          <w:p>
            <w:pPr>
              <w:spacing w:line="240" w:lineRule="auto"/>
              <w:jc w:val="left"/>
              <w:rPr>
                <w:rFonts w:hint="eastAsia" w:ascii="宋体" w:hAnsi="宋体" w:eastAsia="宋体" w:cs="宋体"/>
                <w:b w:val="0"/>
                <w:bCs w:val="0"/>
                <w:i w:val="0"/>
                <w:color w:val="auto"/>
                <w:sz w:val="24"/>
                <w:szCs w:val="24"/>
                <w:u w:val="none"/>
              </w:rPr>
            </w:pPr>
          </w:p>
        </w:tc>
        <w:tc>
          <w:tcPr>
            <w:tcW w:w="1750" w:type="dxa"/>
            <w:tcBorders>
              <w:top w:val="nil"/>
              <w:left w:val="nil"/>
              <w:bottom w:val="nil"/>
              <w:right w:val="nil"/>
            </w:tcBorders>
            <w:noWrap w:val="0"/>
            <w:vAlign w:val="center"/>
          </w:tcPr>
          <w:p>
            <w:pPr>
              <w:spacing w:line="240" w:lineRule="auto"/>
              <w:jc w:val="left"/>
              <w:rPr>
                <w:rFonts w:hint="eastAsia" w:ascii="宋体" w:hAnsi="宋体" w:eastAsia="宋体" w:cs="宋体"/>
                <w:b w:val="0"/>
                <w:bCs w:val="0"/>
                <w:i w:val="0"/>
                <w:color w:val="auto"/>
                <w:sz w:val="24"/>
                <w:szCs w:val="24"/>
                <w:u w:val="none"/>
              </w:rPr>
            </w:pPr>
          </w:p>
        </w:tc>
        <w:tc>
          <w:tcPr>
            <w:tcW w:w="800" w:type="dxa"/>
            <w:tcBorders>
              <w:top w:val="nil"/>
              <w:left w:val="nil"/>
              <w:bottom w:val="nil"/>
              <w:right w:val="nil"/>
            </w:tcBorders>
            <w:noWrap w:val="0"/>
            <w:vAlign w:val="center"/>
          </w:tcPr>
          <w:p>
            <w:pPr>
              <w:spacing w:line="240" w:lineRule="auto"/>
              <w:jc w:val="left"/>
              <w:rPr>
                <w:rFonts w:hint="eastAsia" w:ascii="宋体" w:hAnsi="宋体" w:eastAsia="宋体" w:cs="宋体"/>
                <w:b w:val="0"/>
                <w:bCs w:val="0"/>
                <w:i w:val="0"/>
                <w:color w:val="auto"/>
                <w:sz w:val="24"/>
                <w:szCs w:val="24"/>
                <w:u w:val="none"/>
              </w:rPr>
            </w:pPr>
          </w:p>
        </w:tc>
        <w:tc>
          <w:tcPr>
            <w:tcW w:w="950" w:type="dxa"/>
            <w:tcBorders>
              <w:top w:val="nil"/>
              <w:left w:val="nil"/>
              <w:bottom w:val="nil"/>
              <w:right w:val="nil"/>
            </w:tcBorders>
            <w:noWrap w:val="0"/>
            <w:vAlign w:val="center"/>
          </w:tcPr>
          <w:p>
            <w:pPr>
              <w:spacing w:line="240" w:lineRule="auto"/>
              <w:jc w:val="left"/>
              <w:rPr>
                <w:rFonts w:hint="eastAsia" w:ascii="宋体" w:hAnsi="宋体" w:eastAsia="宋体" w:cs="宋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429" w:type="dxa"/>
            <w:gridSpan w:val="7"/>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i w:val="0"/>
                <w:color w:val="auto"/>
                <w:sz w:val="44"/>
                <w:szCs w:val="44"/>
                <w:u w:val="none"/>
              </w:rPr>
            </w:pPr>
            <w:bookmarkStart w:id="0" w:name="_GoBack"/>
            <w:r>
              <w:rPr>
                <w:rFonts w:hint="eastAsia" w:ascii="方正小标宋简体" w:hAnsi="方正小标宋简体" w:eastAsia="方正小标宋简体" w:cs="方正小标宋简体"/>
                <w:b w:val="0"/>
                <w:bCs w:val="0"/>
                <w:i w:val="0"/>
                <w:color w:val="auto"/>
                <w:kern w:val="2"/>
                <w:sz w:val="44"/>
                <w:szCs w:val="44"/>
                <w:u w:val="none"/>
                <w:lang w:val="en-US" w:eastAsia="zh-CN" w:bidi="ar"/>
              </w:rPr>
              <w:t xml:space="preserve">                 广西新材料产业目标任务表</w:t>
            </w:r>
          </w:p>
        </w:tc>
        <w:tc>
          <w:tcPr>
            <w:tcW w:w="1750" w:type="dxa"/>
            <w:tcBorders>
              <w:top w:val="nil"/>
              <w:left w:val="nil"/>
              <w:bottom w:val="single" w:color="auto" w:sz="4" w:space="0"/>
              <w:right w:val="nil"/>
            </w:tcBorders>
            <w:noWrap w:val="0"/>
            <w:vAlign w:val="center"/>
          </w:tcPr>
          <w:p>
            <w:pPr>
              <w:keepNext w:val="0"/>
              <w:keepLines w:val="0"/>
              <w:widowControl/>
              <w:suppressLineNumbers w:val="0"/>
              <w:adjustRightInd/>
              <w:snapToGrid/>
              <w:spacing w:line="240" w:lineRule="auto"/>
              <w:jc w:val="center"/>
              <w:textAlignment w:val="auto"/>
              <w:rPr>
                <w:rFonts w:hint="eastAsia" w:ascii="方正小标宋简体" w:hAnsi="方正小标宋简体" w:eastAsia="方正小标宋简体" w:cs="方正小标宋简体"/>
                <w:b w:val="0"/>
                <w:bCs w:val="0"/>
                <w:i w:val="0"/>
                <w:color w:val="auto"/>
                <w:kern w:val="2"/>
                <w:sz w:val="44"/>
                <w:szCs w:val="44"/>
                <w:u w:val="none"/>
                <w:lang w:val="en-US" w:eastAsia="zh-CN" w:bidi="ar"/>
              </w:rPr>
            </w:pPr>
          </w:p>
        </w:tc>
        <w:tc>
          <w:tcPr>
            <w:tcW w:w="800" w:type="dxa"/>
            <w:tcBorders>
              <w:top w:val="nil"/>
              <w:left w:val="nil"/>
              <w:bottom w:val="single" w:color="auto" w:sz="4" w:space="0"/>
              <w:right w:val="nil"/>
            </w:tcBorders>
            <w:noWrap w:val="0"/>
            <w:vAlign w:val="center"/>
          </w:tcPr>
          <w:p>
            <w:pPr>
              <w:keepNext w:val="0"/>
              <w:keepLines w:val="0"/>
              <w:widowControl/>
              <w:suppressLineNumbers w:val="0"/>
              <w:adjustRightInd/>
              <w:snapToGrid/>
              <w:spacing w:line="240" w:lineRule="auto"/>
              <w:jc w:val="center"/>
              <w:textAlignment w:val="auto"/>
              <w:rPr>
                <w:rFonts w:hint="eastAsia" w:ascii="方正小标宋简体" w:hAnsi="方正小标宋简体" w:eastAsia="方正小标宋简体" w:cs="方正小标宋简体"/>
                <w:b w:val="0"/>
                <w:bCs w:val="0"/>
                <w:i w:val="0"/>
                <w:color w:val="auto"/>
                <w:kern w:val="2"/>
                <w:sz w:val="44"/>
                <w:szCs w:val="44"/>
                <w:u w:val="none"/>
                <w:lang w:val="en-US" w:eastAsia="zh-CN" w:bidi="ar"/>
              </w:rPr>
            </w:pPr>
          </w:p>
        </w:tc>
        <w:tc>
          <w:tcPr>
            <w:tcW w:w="950" w:type="dxa"/>
            <w:tcBorders>
              <w:top w:val="nil"/>
              <w:left w:val="nil"/>
              <w:bottom w:val="single" w:color="auto" w:sz="4" w:space="0"/>
              <w:right w:val="nil"/>
            </w:tcBorders>
            <w:noWrap w:val="0"/>
            <w:vAlign w:val="center"/>
          </w:tcPr>
          <w:p>
            <w:pPr>
              <w:keepNext w:val="0"/>
              <w:keepLines w:val="0"/>
              <w:widowControl/>
              <w:suppressLineNumbers w:val="0"/>
              <w:adjustRightInd/>
              <w:snapToGrid/>
              <w:spacing w:line="240" w:lineRule="auto"/>
              <w:jc w:val="center"/>
              <w:textAlignment w:val="auto"/>
              <w:rPr>
                <w:rFonts w:hint="eastAsia" w:ascii="方正小标宋简体" w:hAnsi="方正小标宋简体" w:eastAsia="方正小标宋简体" w:cs="方正小标宋简体"/>
                <w:b w:val="0"/>
                <w:bCs w:val="0"/>
                <w:i w:val="0"/>
                <w:color w:val="auto"/>
                <w:kern w:val="2"/>
                <w:sz w:val="44"/>
                <w:szCs w:val="44"/>
                <w:u w:val="none"/>
                <w:lang w:val="en-US" w:eastAsia="zh-CN" w:bidi="ar"/>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重点产业链</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产值（亿元）</w:t>
            </w:r>
          </w:p>
        </w:tc>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p>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SA"/>
              </w:rPr>
              <w:t>重点布局市</w:t>
            </w:r>
          </w:p>
        </w:tc>
        <w:tc>
          <w:tcPr>
            <w:tcW w:w="15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SA"/>
              </w:rPr>
              <w:t>重点园区</w:t>
            </w:r>
          </w:p>
        </w:tc>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SA"/>
              </w:rPr>
              <w:t>重点企业</w:t>
            </w:r>
          </w:p>
        </w:tc>
        <w:tc>
          <w:tcPr>
            <w:tcW w:w="30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SA"/>
              </w:rPr>
              <w:t>重点项目</w:t>
            </w:r>
          </w:p>
        </w:tc>
        <w:tc>
          <w:tcPr>
            <w:tcW w:w="35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color w:val="auto"/>
                <w:sz w:val="22"/>
                <w:szCs w:val="22"/>
                <w:vertAlign w:val="baseline"/>
                <w:lang w:eastAsia="zh-CN" w:bidi="ar"/>
              </w:rPr>
              <w:t>重点企业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i w:val="0"/>
                <w:color w:val="auto"/>
                <w:sz w:val="22"/>
                <w:szCs w:val="22"/>
                <w:u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SA"/>
              </w:rPr>
              <w:t>2020年</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SA"/>
              </w:rPr>
              <w:t>2023年</w:t>
            </w:r>
          </w:p>
        </w:tc>
        <w:tc>
          <w:tcPr>
            <w:tcW w:w="10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p>
        </w:tc>
        <w:tc>
          <w:tcPr>
            <w:tcW w:w="15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p>
        </w:tc>
        <w:tc>
          <w:tcPr>
            <w:tcW w:w="30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ind w:firstLine="0" w:firstLineChars="0"/>
              <w:jc w:val="center"/>
              <w:textAlignment w:val="center"/>
              <w:rPr>
                <w:rFonts w:hint="eastAsia" w:ascii="仿宋_GB2312" w:hAnsi="仿宋_GB2312" w:eastAsia="仿宋_GB2312" w:cs="仿宋_GB2312"/>
                <w:b w:val="0"/>
                <w:bCs w:val="0"/>
                <w:i w:val="0"/>
                <w:color w:val="auto"/>
                <w:sz w:val="22"/>
                <w:szCs w:val="22"/>
                <w:u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val="0"/>
                <w:bCs w:val="0"/>
                <w:i w:val="0"/>
                <w:color w:val="auto"/>
                <w:kern w:val="2"/>
                <w:sz w:val="22"/>
                <w:szCs w:val="22"/>
                <w:u w:val="no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企业名称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2020年</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产值</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val="0"/>
                <w:bCs w:val="0"/>
                <w:i w:val="0"/>
                <w:color w:val="auto"/>
                <w:kern w:val="2"/>
                <w:sz w:val="22"/>
                <w:szCs w:val="22"/>
                <w:u w:val="no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（亿元）</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2023年</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预计产值</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仿宋_GB2312" w:eastAsia="仿宋_GB2312" w:cs="仿宋_GB2312"/>
                <w:b w:val="0"/>
                <w:bCs w:val="0"/>
                <w:i w:val="0"/>
                <w:color w:val="auto"/>
                <w:kern w:val="2"/>
                <w:sz w:val="22"/>
                <w:szCs w:val="22"/>
                <w:u w:val="no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新能源电池材料</w:t>
            </w:r>
          </w:p>
        </w:tc>
        <w:tc>
          <w:tcPr>
            <w:tcW w:w="9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40</w:t>
            </w: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350</w:t>
            </w:r>
          </w:p>
        </w:tc>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百色、来宾、玉林、钦州、崇左、防城港</w:t>
            </w:r>
          </w:p>
        </w:tc>
        <w:tc>
          <w:tcPr>
            <w:tcW w:w="15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百色工业园区、靖西市工业园区锰园区、来宾市工业园区、玉林龙潭产业园区、北海铁山港产业园、崇左城市工业区、防城港经济技术开发区</w:t>
            </w:r>
            <w:r>
              <w:rPr>
                <w:rFonts w:hint="eastAsia" w:ascii="仿宋_GB2312" w:hAnsi="仿宋_GB2312" w:cs="仿宋_GB2312"/>
                <w:b w:val="0"/>
                <w:bCs w:val="0"/>
                <w:i w:val="0"/>
                <w:color w:val="auto"/>
                <w:kern w:val="2"/>
                <w:sz w:val="22"/>
                <w:szCs w:val="22"/>
                <w:u w:val="none"/>
                <w:lang w:val="en-US" w:eastAsia="zh-CN" w:bidi="ar"/>
              </w:rPr>
              <w:t>、钦州港经济技术开发区</w:t>
            </w:r>
            <w:r>
              <w:rPr>
                <w:rFonts w:hint="eastAsia" w:ascii="仿宋_GB2312" w:hAnsi="仿宋_GB2312" w:eastAsia="仿宋_GB2312" w:cs="仿宋_GB2312"/>
                <w:b w:val="0"/>
                <w:bCs w:val="0"/>
                <w:i w:val="0"/>
                <w:color w:val="auto"/>
                <w:kern w:val="2"/>
                <w:sz w:val="22"/>
                <w:szCs w:val="22"/>
                <w:u w:val="none"/>
                <w:lang w:val="en-US" w:eastAsia="zh-CN" w:bidi="ar"/>
              </w:rPr>
              <w:t>等</w:t>
            </w:r>
          </w:p>
        </w:tc>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广西时代锂电材料科技有限公司、南方锰业集团、靖西湘潭电化科技有限公司、广西巴莫科技有限公司、广西汇元锰业有限责任公司</w:t>
            </w:r>
            <w:r>
              <w:rPr>
                <w:rFonts w:hint="eastAsia" w:ascii="仿宋_GB2312" w:hAnsi="仿宋_GB2312" w:cs="仿宋_GB2312"/>
                <w:b w:val="0"/>
                <w:bCs w:val="0"/>
                <w:i w:val="0"/>
                <w:color w:val="auto"/>
                <w:kern w:val="2"/>
                <w:sz w:val="22"/>
                <w:szCs w:val="22"/>
                <w:u w:val="none"/>
                <w:lang w:val="en-US" w:eastAsia="zh-CN" w:bidi="ar"/>
              </w:rPr>
              <w:t>、广西天源新能源材料有限公司</w:t>
            </w:r>
            <w:r>
              <w:rPr>
                <w:rFonts w:hint="eastAsia" w:ascii="仿宋_GB2312" w:hAnsi="仿宋_GB2312" w:eastAsia="仿宋_GB2312" w:cs="仿宋_GB2312"/>
                <w:b w:val="0"/>
                <w:bCs w:val="0"/>
                <w:i w:val="0"/>
                <w:color w:val="auto"/>
                <w:kern w:val="2"/>
                <w:sz w:val="22"/>
                <w:szCs w:val="22"/>
                <w:u w:val="none"/>
                <w:lang w:val="en-US" w:eastAsia="zh-CN" w:bidi="ar"/>
              </w:rPr>
              <w:t>等</w:t>
            </w:r>
          </w:p>
        </w:tc>
        <w:tc>
          <w:tcPr>
            <w:tcW w:w="30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both"/>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70万吨锂电新能源材料一体化产业基地项目、北海顺应新能源铁山港储能材料制造基地项目、汇元锰业新能</w:t>
            </w:r>
            <w:r>
              <w:rPr>
                <w:rFonts w:hint="eastAsia" w:ascii="仿宋_GB2312" w:hAnsi="仿宋_GB2312" w:cs="仿宋_GB2312"/>
                <w:b w:val="0"/>
                <w:bCs w:val="0"/>
                <w:i w:val="0"/>
                <w:color w:val="auto"/>
                <w:kern w:val="2"/>
                <w:sz w:val="22"/>
                <w:szCs w:val="22"/>
                <w:u w:val="none"/>
                <w:lang w:val="en-US" w:eastAsia="zh-CN" w:bidi="ar"/>
              </w:rPr>
              <w:t xml:space="preserve">     </w:t>
            </w:r>
            <w:r>
              <w:rPr>
                <w:rFonts w:hint="eastAsia" w:ascii="仿宋_GB2312" w:hAnsi="仿宋_GB2312" w:eastAsia="仿宋_GB2312" w:cs="仿宋_GB2312"/>
                <w:b w:val="0"/>
                <w:bCs w:val="0"/>
                <w:i w:val="0"/>
                <w:color w:val="auto"/>
                <w:kern w:val="2"/>
                <w:sz w:val="22"/>
                <w:szCs w:val="22"/>
                <w:u w:val="none"/>
                <w:lang w:val="en-US" w:eastAsia="zh-CN" w:bidi="ar"/>
              </w:rPr>
              <w:t>源电池锰系材料产业集群项目等重点项目、中伟新材料南部（钦州）产业基地项目、广西汇元锰业年8万吨动力电池正极材料前驱体用电解二氧化锰技改项目、靖西湘潭电化科技有限公司年产1万吨高性能锰酸锂电池正极材料项目、大龙汇成年产20万吨（电池级）高纯硫酸锰项目、广西川金诺年产10万吨电池级磷酸铁锂正极材料项目</w:t>
            </w:r>
            <w:r>
              <w:rPr>
                <w:rFonts w:hint="eastAsia" w:ascii="仿宋_GB2312" w:hAnsi="仿宋_GB2312" w:cs="仿宋_GB2312"/>
                <w:b w:val="0"/>
                <w:bCs w:val="0"/>
                <w:i w:val="0"/>
                <w:color w:val="auto"/>
                <w:kern w:val="2"/>
                <w:sz w:val="22"/>
                <w:szCs w:val="22"/>
                <w:u w:val="none"/>
                <w:lang w:val="en-US" w:eastAsia="zh-CN" w:bidi="ar"/>
              </w:rPr>
              <w:t>、广西天源新能源材料有限公司氢氧化锂项目、广西禹鼎电池级硫酸锰新能源材料项目</w:t>
            </w:r>
            <w:r>
              <w:rPr>
                <w:rFonts w:hint="eastAsia" w:ascii="仿宋_GB2312" w:hAnsi="仿宋_GB2312" w:eastAsia="仿宋_GB2312" w:cs="仿宋_GB2312"/>
                <w:b w:val="0"/>
                <w:bCs w:val="0"/>
                <w:i w:val="0"/>
                <w:color w:val="auto"/>
                <w:kern w:val="2"/>
                <w:sz w:val="22"/>
                <w:szCs w:val="22"/>
                <w:u w:val="none"/>
                <w:lang w:val="en-US" w:eastAsia="zh-CN" w:bidi="ar"/>
              </w:rPr>
              <w:t>等</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i w:val="0"/>
                <w:color w:val="auto"/>
                <w:kern w:val="2"/>
                <w:sz w:val="22"/>
                <w:szCs w:val="22"/>
                <w:u w:val="none"/>
                <w:lang w:val="en-US" w:eastAsia="zh-CN" w:bidi="ar"/>
              </w:rPr>
              <w:t>广西时代锂电材料科技有限公司</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71" w:hRule="atLeast"/>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0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5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30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i w:val="0"/>
                <w:color w:val="auto"/>
                <w:kern w:val="2"/>
                <w:sz w:val="22"/>
                <w:szCs w:val="22"/>
                <w:u w:val="none"/>
                <w:lang w:val="en-US" w:eastAsia="zh-CN" w:bidi="ar"/>
              </w:rPr>
              <w:t>南方锰业集团</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稀土新材料</w:t>
            </w:r>
          </w:p>
        </w:tc>
        <w:tc>
          <w:tcPr>
            <w:tcW w:w="9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10</w:t>
            </w: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20</w:t>
            </w:r>
          </w:p>
        </w:tc>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梧州、贺州、崇左</w:t>
            </w:r>
          </w:p>
        </w:tc>
        <w:tc>
          <w:tcPr>
            <w:tcW w:w="15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梧州稀土产业园、贺州旺高工业园区、崇左城市工业园区</w:t>
            </w:r>
          </w:p>
        </w:tc>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贺州稀有稀土矿业有限公司、中稀（广西）金源稀土新材料有限公司、广西国盛稀土新材料有限公司等</w:t>
            </w:r>
          </w:p>
        </w:tc>
        <w:tc>
          <w:tcPr>
            <w:tcW w:w="30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both"/>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年产2000吨永磁材料深加工项目、广西西骏新材料有限公司年产3000吨稀土金属及合金项目、稀土高性能烧结钕铁硼永磁材料及永磁电机制造项目、生产灯用三基色荧光粉、长余辉荧光粉和LED荧光粉项目、高性能轻量化稀土合金材料及产品产业化项目等</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i w:val="0"/>
                <w:color w:val="auto"/>
                <w:kern w:val="2"/>
                <w:sz w:val="22"/>
                <w:szCs w:val="22"/>
                <w:u w:val="none"/>
                <w:lang w:val="en-US" w:eastAsia="zh-CN" w:bidi="ar"/>
              </w:rPr>
              <w:t>贺州稀有稀土矿业有限公司</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0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5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30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i w:val="0"/>
                <w:color w:val="auto"/>
                <w:kern w:val="2"/>
                <w:sz w:val="22"/>
                <w:szCs w:val="22"/>
                <w:u w:val="none"/>
                <w:lang w:val="en-US" w:eastAsia="zh-CN" w:bidi="ar"/>
              </w:rPr>
              <w:t>中稀（广西）金源稀土新材料有限公司</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新型合金材料</w:t>
            </w:r>
          </w:p>
        </w:tc>
        <w:tc>
          <w:tcPr>
            <w:tcW w:w="9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20</w:t>
            </w: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30</w:t>
            </w:r>
          </w:p>
        </w:tc>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南宁、柳州、百色、河池</w:t>
            </w:r>
          </w:p>
        </w:tc>
        <w:tc>
          <w:tcPr>
            <w:tcW w:w="15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南宁市江南工业园区、柳州市阳和工业新区、河池市工业园区大任产业园、河池·南丹有色金属新材料工业园区</w:t>
            </w:r>
          </w:p>
        </w:tc>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广西南南铝加工有限公司、广西南南铝股份有限公司、广西华锡集团有限公司等</w:t>
            </w:r>
          </w:p>
        </w:tc>
        <w:tc>
          <w:tcPr>
            <w:tcW w:w="30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both"/>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铅锑新型合金材料加工与应用项目、年产100万吨新型合金及50万吨冶金功能新材料绿色循环产业园项目、半固态压铸铝合金模板项目、新型精密电子铜带项目一期、龙潭产业园区铜合金生产制造项目、年产20万吨特种高端铝合金项目、年产2×1260吨钒氮合金生产线项目等。</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i w:val="0"/>
                <w:color w:val="auto"/>
                <w:kern w:val="2"/>
                <w:sz w:val="22"/>
                <w:szCs w:val="22"/>
                <w:u w:val="none"/>
                <w:lang w:val="en-US" w:eastAsia="zh-CN" w:bidi="ar"/>
              </w:rPr>
              <w:t>广西南南铝加工有限公司</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0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5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30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both"/>
              <w:textAlignment w:val="auto"/>
              <w:rPr>
                <w:rFonts w:hint="eastAsia" w:ascii="仿宋_GB2312" w:hAnsi="仿宋_GB2312"/>
                <w:b w:val="0"/>
                <w:bCs w:val="0"/>
                <w:color w:val="auto"/>
                <w:sz w:val="22"/>
                <w:szCs w:val="22"/>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i w:val="0"/>
                <w:color w:val="auto"/>
                <w:kern w:val="2"/>
                <w:sz w:val="22"/>
                <w:szCs w:val="22"/>
                <w:u w:val="none"/>
                <w:lang w:val="en-US" w:eastAsia="zh-CN" w:bidi="ar"/>
              </w:rPr>
              <w:t>广西南南铝股份有限公司</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石墨烯新材料</w:t>
            </w:r>
          </w:p>
        </w:tc>
        <w:tc>
          <w:tcPr>
            <w:tcW w:w="9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0.5</w:t>
            </w: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2</w:t>
            </w:r>
          </w:p>
        </w:tc>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柳州市</w:t>
            </w:r>
          </w:p>
        </w:tc>
        <w:tc>
          <w:tcPr>
            <w:tcW w:w="15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广西石墨烯小镇（鹿寨）产业基地</w:t>
            </w:r>
          </w:p>
        </w:tc>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广西云亭烯科技有限公司、广西清鹿新材料科技有限责任公司、柳州炜林纳新材料科技有限责任公司</w:t>
            </w:r>
          </w:p>
        </w:tc>
        <w:tc>
          <w:tcPr>
            <w:tcW w:w="30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both"/>
              <w:textAlignment w:val="auto"/>
              <w:rPr>
                <w:rFonts w:hint="eastAsia" w:ascii="仿宋_GB2312" w:hAnsi="仿宋_GB2312" w:eastAsia="仿宋_GB2312" w:cs="仿宋_GB2312"/>
                <w:b w:val="0"/>
                <w:bCs w:val="0"/>
                <w:i w:val="0"/>
                <w:color w:val="auto"/>
                <w:sz w:val="22"/>
                <w:szCs w:val="22"/>
                <w:u w:val="none"/>
              </w:rPr>
            </w:pPr>
            <w:r>
              <w:rPr>
                <w:rFonts w:hint="eastAsia" w:ascii="仿宋_GB2312" w:hAnsi="仿宋_GB2312" w:eastAsia="仿宋_GB2312" w:cs="仿宋_GB2312"/>
                <w:b w:val="0"/>
                <w:bCs w:val="0"/>
                <w:i w:val="0"/>
                <w:color w:val="auto"/>
                <w:kern w:val="2"/>
                <w:sz w:val="22"/>
                <w:szCs w:val="22"/>
                <w:u w:val="none"/>
                <w:lang w:val="en-US" w:eastAsia="zh-CN" w:bidi="ar"/>
              </w:rPr>
              <w:t>广西清鹿新材料科技有限责任公司石墨烯粉体及石墨烯改性润滑油项目、柳州炜林纳新材料科技有限责任公司石墨烯改性EPP项目、广西云亭烯科技有限公司石墨烯改性EPS制品项目</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i w:val="0"/>
                <w:color w:val="auto"/>
                <w:kern w:val="2"/>
                <w:sz w:val="22"/>
                <w:szCs w:val="22"/>
                <w:u w:val="none"/>
                <w:lang w:val="en-US" w:eastAsia="zh-CN" w:bidi="ar"/>
              </w:rPr>
              <w:t>广西云亭烯科技有限公司</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0.2</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0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5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30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b w:val="0"/>
                <w:bCs w:val="0"/>
                <w:color w:val="auto"/>
                <w:sz w:val="22"/>
                <w:szCs w:val="22"/>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eastAsia"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eastAsia="仿宋_GB2312" w:cs="仿宋_GB2312"/>
                <w:b w:val="0"/>
                <w:bCs w:val="0"/>
                <w:i w:val="0"/>
                <w:color w:val="auto"/>
                <w:kern w:val="2"/>
                <w:sz w:val="22"/>
                <w:szCs w:val="22"/>
                <w:u w:val="none"/>
                <w:lang w:val="en-US" w:eastAsia="zh-CN" w:bidi="ar"/>
              </w:rPr>
              <w:t>广西清鹿新材料科技有限责任公司</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0.2</w:t>
            </w:r>
          </w:p>
        </w:tc>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line="300" w:lineRule="exact"/>
              <w:ind w:firstLine="0" w:firstLineChars="0"/>
              <w:jc w:val="center"/>
              <w:textAlignment w:val="auto"/>
              <w:rPr>
                <w:rFonts w:hint="default" w:ascii="仿宋_GB2312" w:hAnsi="仿宋_GB2312" w:eastAsia="仿宋_GB2312" w:cs="仿宋_GB2312"/>
                <w:b w:val="0"/>
                <w:bCs w:val="0"/>
                <w:i w:val="0"/>
                <w:color w:val="auto"/>
                <w:kern w:val="2"/>
                <w:sz w:val="22"/>
                <w:szCs w:val="22"/>
                <w:u w:val="none"/>
                <w:lang w:val="en-US" w:eastAsia="zh-CN" w:bidi="ar"/>
              </w:rPr>
            </w:pPr>
            <w:r>
              <w:rPr>
                <w:rFonts w:hint="eastAsia" w:ascii="仿宋_GB2312" w:hAnsi="仿宋_GB2312" w:cs="仿宋_GB2312"/>
                <w:b w:val="0"/>
                <w:bCs w:val="0"/>
                <w:i w:val="0"/>
                <w:color w:val="auto"/>
                <w:kern w:val="2"/>
                <w:sz w:val="22"/>
                <w:szCs w:val="22"/>
                <w:u w:val="none"/>
                <w:lang w:val="en-US" w:eastAsia="zh-CN" w:bidi="ar"/>
              </w:rPr>
              <w:t>0.6</w:t>
            </w:r>
          </w:p>
        </w:tc>
      </w:tr>
    </w:tbl>
    <w:p/>
    <w:sectPr>
      <w:pgSz w:w="16838" w:h="11906" w:orient="landscape"/>
      <w:pgMar w:top="1701" w:right="1417" w:bottom="1587"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73402"/>
    <w:rsid w:val="2A9B1768"/>
    <w:rsid w:val="6D773402"/>
    <w:rsid w:val="7EFD5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仿宋_GB2312"/>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0" w:line="580" w:lineRule="exact"/>
      <w:ind w:firstLine="420" w:firstLineChars="100"/>
    </w:pPr>
    <w:rPr>
      <w:rFonts w:ascii="仿宋_GB2312" w:hAnsi="宋体" w:eastAsia="仿宋_GB2312" w:cs="Times New Roman"/>
      <w:sz w:val="32"/>
      <w:szCs w:val="24"/>
    </w:rPr>
  </w:style>
  <w:style w:type="paragraph" w:styleId="3">
    <w:name w:val="Body Text"/>
    <w:basedOn w:val="1"/>
    <w:next w:val="4"/>
    <w:qFormat/>
    <w:uiPriority w:val="0"/>
    <w:pPr>
      <w:spacing w:line="480" w:lineRule="atLeast"/>
      <w:jc w:val="center"/>
    </w:pPr>
    <w:rPr>
      <w:rFonts w:ascii="华文行楷" w:eastAsia="华文行楷"/>
      <w:b/>
      <w:sz w:val="48"/>
      <w:szCs w:val="24"/>
    </w:r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2022-02-09T08:38:00Z</dcterms:created>
  <dc:creator>anja</dc:creator>
  <cp:lastModifiedBy>anja</cp:lastModifiedBy>
  <dcterms:modified xsi:type="dcterms:W3CDTF">2022-02-09T08:38:50Z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9D7B3A3FEC374B0C9B83A1DCC8A4E73D</vt:lpwstr>
  </property>
</Properties>
</file>