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both"/>
        <w:textAlignment w:val="auto"/>
        <w:rPr>
          <w:rFonts w:hint="eastAsia" w:ascii="仿宋_GB2312" w:hAnsi="仿宋_GB2312" w:eastAsia="仿宋_GB2312" w:cs="仿宋_GB2312"/>
          <w:color w:val="auto"/>
          <w:sz w:val="32"/>
          <w:szCs w:val="32"/>
        </w:rPr>
      </w:pPr>
      <w:bookmarkStart w:id="0" w:name="_GoBack"/>
      <w:r>
        <w:rPr>
          <w:rFonts w:hint="eastAsia" w:ascii="黑体" w:hAnsi="黑体" w:eastAsia="黑体" w:cs="黑体"/>
          <w:b w:val="0"/>
          <w:bCs/>
          <w:i w:val="0"/>
          <w:caps w:val="0"/>
          <w:color w:val="auto"/>
          <w:spacing w:val="0"/>
          <w:sz w:val="32"/>
          <w:szCs w:val="32"/>
          <w:shd w:val="clear" w:color="auto" w:fill="FFFFFF"/>
          <w:lang w:eastAsia="zh-CN"/>
        </w:rPr>
        <w:t>附件</w:t>
      </w:r>
    </w:p>
    <w:p>
      <w:pPr>
        <w:pStyle w:val="2"/>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方正小标宋_GBK" w:hAnsi="方正小标宋_GBK" w:eastAsia="方正小标宋_GBK" w:cs="方正小标宋_GBK"/>
          <w:b w:val="0"/>
          <w:bCs/>
          <w:i w:val="0"/>
          <w:caps w:val="0"/>
          <w:color w:val="auto"/>
          <w:spacing w:val="0"/>
          <w:sz w:val="44"/>
          <w:szCs w:val="44"/>
          <w:shd w:val="clear" w:color="auto" w:fill="FFFFFF"/>
          <w:lang w:eastAsia="zh-CN"/>
        </w:rPr>
      </w:pPr>
      <w:r>
        <w:rPr>
          <w:rFonts w:hint="eastAsia" w:ascii="方正小标宋_GBK" w:hAnsi="方正小标宋_GBK" w:eastAsia="方正小标宋_GBK" w:cs="方正小标宋_GBK"/>
          <w:b w:val="0"/>
          <w:bCs/>
          <w:i w:val="0"/>
          <w:caps w:val="0"/>
          <w:color w:val="auto"/>
          <w:spacing w:val="0"/>
          <w:sz w:val="44"/>
          <w:szCs w:val="44"/>
          <w:shd w:val="clear" w:color="auto" w:fill="FFFFFF"/>
        </w:rPr>
        <w:t>202</w:t>
      </w:r>
      <w:r>
        <w:rPr>
          <w:rFonts w:hint="eastAsia" w:ascii="方正小标宋_GBK" w:hAnsi="方正小标宋_GBK" w:eastAsia="方正小标宋_GBK" w:cs="方正小标宋_GBK"/>
          <w:b w:val="0"/>
          <w:bCs/>
          <w:i w:val="0"/>
          <w:caps w:val="0"/>
          <w:color w:val="auto"/>
          <w:spacing w:val="0"/>
          <w:sz w:val="44"/>
          <w:szCs w:val="44"/>
          <w:shd w:val="clear" w:color="auto" w:fill="FFFFFF"/>
          <w:lang w:val="en-US" w:eastAsia="zh-CN"/>
        </w:rPr>
        <w:t>6</w:t>
      </w:r>
      <w:r>
        <w:rPr>
          <w:rFonts w:hint="eastAsia" w:ascii="方正小标宋_GBK" w:hAnsi="方正小标宋_GBK" w:eastAsia="方正小标宋_GBK" w:cs="方正小标宋_GBK"/>
          <w:b w:val="0"/>
          <w:bCs/>
          <w:i w:val="0"/>
          <w:caps w:val="0"/>
          <w:color w:val="auto"/>
          <w:spacing w:val="0"/>
          <w:sz w:val="44"/>
          <w:szCs w:val="44"/>
          <w:shd w:val="clear" w:color="auto" w:fill="FFFFFF"/>
        </w:rPr>
        <w:t>年</w:t>
      </w:r>
      <w:r>
        <w:rPr>
          <w:rFonts w:hint="eastAsia" w:ascii="方正小标宋_GBK" w:hAnsi="方正小标宋_GBK" w:eastAsia="方正小标宋_GBK" w:cs="方正小标宋_GBK"/>
          <w:b w:val="0"/>
          <w:bCs/>
          <w:i w:val="0"/>
          <w:caps w:val="0"/>
          <w:color w:val="auto"/>
          <w:spacing w:val="0"/>
          <w:sz w:val="44"/>
          <w:szCs w:val="44"/>
          <w:shd w:val="clear" w:color="auto" w:fill="FFFFFF"/>
          <w:lang w:eastAsia="zh-CN"/>
        </w:rPr>
        <w:t>拟认定自治区先进制造业集群发展促进组织名单</w:t>
      </w:r>
    </w:p>
    <w:p>
      <w:pPr>
        <w:pStyle w:val="3"/>
        <w:keepNext w:val="0"/>
        <w:keepLines w:val="0"/>
        <w:pageBreakBefore w:val="0"/>
        <w:kinsoku/>
        <w:wordWrap/>
        <w:overflowPunct/>
        <w:topLinePunct w:val="0"/>
        <w:autoSpaceDE/>
        <w:autoSpaceDN/>
        <w:bidi w:val="0"/>
        <w:adjustRightInd/>
        <w:snapToGrid/>
        <w:spacing w:line="440" w:lineRule="exact"/>
        <w:textAlignment w:val="auto"/>
        <w:rPr>
          <w:rFonts w:hint="eastAsia" w:ascii="方正小标宋_GBK" w:hAnsi="方正小标宋_GBK" w:eastAsia="方正小标宋_GBK" w:cs="方正小标宋_GBK"/>
          <w:b w:val="0"/>
          <w:bCs/>
          <w:i w:val="0"/>
          <w:caps w:val="0"/>
          <w:color w:val="auto"/>
          <w:spacing w:val="0"/>
          <w:sz w:val="30"/>
          <w:szCs w:val="30"/>
          <w:shd w:val="clear" w:color="auto" w:fill="FFFFFF"/>
          <w:lang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rFonts w:hint="eastAsia" w:ascii="仿宋_GB2312" w:hAnsi="仿宋_GB2312" w:eastAsia="仿宋_GB2312" w:cs="仿宋_GB2312"/>
          <w:b w:val="0"/>
          <w:bCs/>
          <w:i w:val="0"/>
          <w:caps w:val="0"/>
          <w:color w:val="auto"/>
          <w:spacing w:val="0"/>
          <w:sz w:val="30"/>
          <w:szCs w:val="30"/>
          <w:shd w:val="clear" w:color="auto" w:fill="FFFFFF"/>
          <w:lang w:val="en-US" w:eastAsia="zh-CN"/>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1.广西制糖学会担任崇左市、来宾市、南宁市、柳州市、贵港市蔗糖产业集群发展促进组织；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rFonts w:hint="eastAsia" w:ascii="仿宋_GB2312" w:hAnsi="仿宋_GB2312" w:eastAsia="仿宋_GB2312" w:cs="仿宋_GB2312"/>
          <w:b w:val="0"/>
          <w:bCs/>
          <w:i w:val="0"/>
          <w:caps w:val="0"/>
          <w:color w:val="auto"/>
          <w:spacing w:val="0"/>
          <w:sz w:val="30"/>
          <w:szCs w:val="30"/>
          <w:shd w:val="clear" w:color="auto" w:fill="FFFFFF"/>
          <w:lang w:val="en-US" w:eastAsia="zh-CN"/>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2.北部湾大学牵头，与广西北投化工规划设计院有限公司、广西中科索顿科技有限公司组成联合体，担任北部湾经济区化工新材料集群发展促进组织；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rFonts w:hint="eastAsia" w:ascii="仿宋_GB2312" w:hAnsi="仿宋_GB2312" w:eastAsia="仿宋_GB2312" w:cs="仿宋_GB2312"/>
          <w:b w:val="0"/>
          <w:bCs/>
          <w:i w:val="0"/>
          <w:caps w:val="0"/>
          <w:color w:val="auto"/>
          <w:spacing w:val="0"/>
          <w:sz w:val="30"/>
          <w:szCs w:val="30"/>
          <w:shd w:val="clear" w:color="auto" w:fill="FFFFFF"/>
          <w:lang w:val="en-US" w:eastAsia="zh-CN"/>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3.广西壮族自治区汽车与机械工程院牵头，与柳州车合互联科技有限公司、东风柳州汽车有限公司组成联合体，担任柳州市、南宁市智能网联新能源汽车集群发展促进组织；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rFonts w:hint="eastAsia" w:ascii="仿宋_GB2312" w:hAnsi="仿宋_GB2312" w:eastAsia="仿宋_GB2312" w:cs="仿宋_GB2312"/>
          <w:b w:val="0"/>
          <w:bCs/>
          <w:i w:val="0"/>
          <w:caps w:val="0"/>
          <w:color w:val="auto"/>
          <w:spacing w:val="0"/>
          <w:sz w:val="30"/>
          <w:szCs w:val="30"/>
          <w:shd w:val="clear" w:color="auto" w:fill="FFFFFF"/>
          <w:lang w:val="en-US" w:eastAsia="zh-CN"/>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4.广西壮族自治区新材料技术工程院牵头，与广西现代职业技术学院组成联合体，担任河池市、南宁市、百色市、崇左市稀有金属集群发展促进组织；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rFonts w:hint="eastAsia" w:ascii="仿宋_GB2312" w:hAnsi="仿宋_GB2312" w:eastAsia="仿宋_GB2312" w:cs="仿宋_GB2312"/>
          <w:b w:val="0"/>
          <w:bCs/>
          <w:i w:val="0"/>
          <w:caps w:val="0"/>
          <w:color w:val="auto"/>
          <w:spacing w:val="0"/>
          <w:sz w:val="30"/>
          <w:szCs w:val="30"/>
          <w:shd w:val="clear" w:color="auto" w:fill="FFFFFF"/>
          <w:lang w:val="en-US" w:eastAsia="zh-CN"/>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5.上汽通用五菱汽车股份有限公司牵头，与百色市铝产业协会组成联合体，担任百色市、来宾市、南宁市生态铝集群发展促进组织；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rFonts w:hint="eastAsia" w:ascii="仿宋_GB2312" w:hAnsi="仿宋_GB2312" w:eastAsia="仿宋_GB2312" w:cs="仿宋_GB2312"/>
          <w:b w:val="0"/>
          <w:bCs/>
          <w:i w:val="0"/>
          <w:caps w:val="0"/>
          <w:color w:val="auto"/>
          <w:spacing w:val="0"/>
          <w:sz w:val="30"/>
          <w:szCs w:val="30"/>
          <w:shd w:val="clear" w:color="auto" w:fill="FFFFFF"/>
          <w:lang w:val="en-US" w:eastAsia="zh-CN"/>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6.广西大学教育科技有限公司牵头，与广西科泰科技信息咨询有限公司、广西七识数字科技有限公司、桂林电器科学研究院有限公司、广西制造业设计联合会组成联合体，担任柳州市、玉林市、南宁市、桂林市先进装备制造集群发展促进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rFonts w:hint="eastAsia" w:ascii="仿宋_GB2312" w:hAnsi="仿宋_GB2312" w:eastAsia="仿宋_GB2312" w:cs="仿宋_GB2312"/>
          <w:b w:val="0"/>
          <w:bCs/>
          <w:i w:val="0"/>
          <w:caps w:val="0"/>
          <w:color w:val="auto"/>
          <w:spacing w:val="0"/>
          <w:sz w:val="30"/>
          <w:szCs w:val="30"/>
          <w:shd w:val="clear" w:color="auto" w:fill="FFFFFF"/>
          <w:lang w:val="en-US" w:eastAsia="zh-CN"/>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7.桂林市工业设计研究院牵头，与桂林市科泰科技信息咨询有限公司组成联合体，担任桂林市新一代信息技术集群发展促进组织；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rFonts w:hint="eastAsia" w:ascii="仿宋_GB2312" w:hAnsi="仿宋_GB2312" w:eastAsia="仿宋_GB2312" w:cs="仿宋_GB2312"/>
          <w:b w:val="0"/>
          <w:bCs/>
          <w:i w:val="0"/>
          <w:caps w:val="0"/>
          <w:color w:val="auto"/>
          <w:spacing w:val="0"/>
          <w:sz w:val="30"/>
          <w:szCs w:val="30"/>
          <w:shd w:val="clear" w:color="auto" w:fill="FFFFFF"/>
          <w:lang w:val="en-US" w:eastAsia="zh-CN"/>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8.广西壮族自治区林业科学研究院担任贵港市高端绿色家居集群发展促进组织。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600" w:firstLineChars="200"/>
        <w:jc w:val="both"/>
        <w:textAlignment w:val="auto"/>
        <w:rPr>
          <w:color w:val="auto"/>
        </w:rPr>
      </w:pPr>
      <w:r>
        <w:rPr>
          <w:rFonts w:hint="eastAsia" w:ascii="仿宋_GB2312" w:hAnsi="仿宋_GB2312" w:eastAsia="仿宋_GB2312" w:cs="仿宋_GB2312"/>
          <w:b w:val="0"/>
          <w:bCs/>
          <w:i w:val="0"/>
          <w:caps w:val="0"/>
          <w:color w:val="auto"/>
          <w:spacing w:val="0"/>
          <w:sz w:val="30"/>
          <w:szCs w:val="30"/>
          <w:shd w:val="clear" w:color="auto" w:fill="FFFFFF"/>
          <w:lang w:val="en-US" w:eastAsia="zh-CN"/>
        </w:rPr>
        <w:t>由于申报单位未达认定要求，本次暂不认定梧州市、贺州市先进材料（无机非金属新材料）集群和玉林市、河池市纺织服装集群发展促进组织。</w:t>
      </w:r>
    </w:p>
    <w:bookmarkEnd w:id="0"/>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adoHJyAEAAJkDAAAOAAAAAAAA&#10;AAEAIAAAADQBAABkcnMvZTJvRG9jLnhtbFBLBQYAAAAABgAGAFkBAABu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BEEC23"/>
    <w:rsid w:val="5FBEEC23"/>
    <w:rsid w:val="77FE6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rPr>
      <w:rFonts w:ascii="Times New Roman" w:hAnsi="Times New Roman" w:eastAsia="宋体" w:cs="Times New Roman"/>
    </w:rPr>
  </w:style>
  <w:style w:type="paragraph" w:styleId="3">
    <w:name w:val="Title"/>
    <w:basedOn w:val="1"/>
    <w:next w:val="1"/>
    <w:qFormat/>
    <w:uiPriority w:val="0"/>
    <w:pPr>
      <w:widowControl w:val="0"/>
      <w:spacing w:line="580" w:lineRule="exact"/>
      <w:ind w:firstLine="200" w:firstLineChars="200"/>
      <w:jc w:val="both"/>
    </w:pPr>
    <w:rPr>
      <w:rFonts w:ascii="Times New Roman" w:hAnsi="Times New Roman" w:eastAsia="仿宋_GB2312" w:cs="Times New Roman"/>
      <w:bCs/>
      <w:kern w:val="2"/>
      <w:sz w:val="32"/>
      <w:szCs w:val="32"/>
      <w:lang w:val="en-US" w:eastAsia="zh-CN" w:bidi="ar-SA"/>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6">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2026-05-12T08:37:00Z</dcterms:created>
  <dc:creator>Gxxc</dc:creator>
  <cp:lastModifiedBy>Gxxc</cp:lastModifiedBy>
  <dcterms:modified xsi:type="dcterms:W3CDTF">2026-05-12T08:38:53Z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25A58FCBF3F312873B76026A9E96051F</vt:lpwstr>
  </property>
</Properties>
</file>