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F9" w:rsidRDefault="004D75F9" w:rsidP="004D75F9">
      <w:pPr>
        <w:spacing w:line="360" w:lineRule="auto"/>
        <w:jc w:val="left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附件2</w:t>
      </w:r>
    </w:p>
    <w:p w:rsidR="004D75F9" w:rsidRDefault="004D75F9" w:rsidP="004D75F9">
      <w:pPr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新冠肺炎“四早”技术方案</w:t>
      </w:r>
    </w:p>
    <w:p w:rsidR="004D75F9" w:rsidRDefault="004D75F9" w:rsidP="004D75F9">
      <w:pPr>
        <w:spacing w:line="360" w:lineRule="auto"/>
        <w:jc w:val="center"/>
        <w:rPr>
          <w:rFonts w:ascii="楷体_GB2312" w:eastAsia="楷体_GB2312" w:hAnsi="宋体" w:cs="宋体"/>
          <w:b/>
          <w:bCs/>
          <w:kern w:val="0"/>
          <w:szCs w:val="32"/>
        </w:rPr>
      </w:pP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“四早”（早发现、早报告、早隔离、早治疗）是传染病防控的重要手段。为有效推动“四早”落实，助力新冠肺炎疫情歼灭战，依据有关法律法规和预案，结合新冠肺炎疫情特点和发展趋势，在总结前期新冠肺炎疫情防控工作经验教训基础上，制定本技术方案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仿宋_GB2312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t>一、早发现、早报告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为进一步提高早期发现病例的能力，各省（区、市）应</w:t>
      </w:r>
      <w:r>
        <w:rPr>
          <w:rFonts w:ascii="仿宋_GB2312" w:hAnsi="仿宋_GB2312" w:cs="仿宋_GB2312" w:hint="eastAsia"/>
          <w:szCs w:val="32"/>
        </w:rPr>
        <w:t>当</w:t>
      </w:r>
      <w:r>
        <w:rPr>
          <w:rFonts w:ascii="仿宋_GB2312" w:hAnsi="仿宋_GB2312" w:cs="仿宋_GB2312" w:hint="eastAsia"/>
          <w:kern w:val="0"/>
          <w:szCs w:val="32"/>
        </w:rPr>
        <w:t>设立新型冠状病毒肺炎监测网络，该监测网络成员单位包括各级各类医疗机构和疾病预防控制机构。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楷体_GB2312" w:cs="楷体_GB2312" w:hint="eastAsia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（一）病例监测报告。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1.监测对象：发热（体温大于37.4℃），伴上呼吸道症状，有可疑接触史或旅行史者。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2.监测时间：截至2020年12月，各级各类医疗机构和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疾控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机构每日开展病例监测排查工作。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3.监测地点：所有门急诊、发热门诊和住院病房等相关诊室均开展病例监测工作。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4.标本采集及实验室检测：医疗机构采集病例临床标本（详见《新型冠状病毒肺炎防控方案（第五版）》标本采集与检测部分），送当地指定的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疾控机构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或医疗机构或第三方</w:t>
      </w:r>
      <w:r>
        <w:rPr>
          <w:rFonts w:ascii="仿宋_GB2312" w:hAnsi="仿宋_GB2312" w:cs="仿宋_GB2312" w:hint="eastAsia"/>
          <w:kern w:val="0"/>
          <w:szCs w:val="32"/>
        </w:rPr>
        <w:lastRenderedPageBreak/>
        <w:t>检测机构实验室进行检测。承担检测工作的机构接到标本后应</w:t>
      </w:r>
      <w:r>
        <w:rPr>
          <w:rFonts w:ascii="仿宋_GB2312" w:hAnsi="仿宋_GB2312" w:cs="仿宋_GB2312" w:hint="eastAsia"/>
          <w:szCs w:val="32"/>
        </w:rPr>
        <w:t>当</w:t>
      </w:r>
      <w:r>
        <w:rPr>
          <w:rFonts w:ascii="仿宋_GB2312" w:hAnsi="仿宋_GB2312" w:cs="仿宋_GB2312" w:hint="eastAsia"/>
          <w:kern w:val="0"/>
          <w:szCs w:val="32"/>
        </w:rPr>
        <w:t>立即开展检测，24小时内完成并反馈检测结果。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5.环境标本监测和血清流行病学调查：根据实际需要适时开展。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6.流行病学调查：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疾控机构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接到病例报告后应</w:t>
      </w:r>
      <w:r>
        <w:rPr>
          <w:rFonts w:ascii="仿宋_GB2312" w:hAnsi="仿宋_GB2312" w:cs="仿宋_GB2312" w:hint="eastAsia"/>
          <w:szCs w:val="32"/>
        </w:rPr>
        <w:t>当</w:t>
      </w:r>
      <w:r>
        <w:rPr>
          <w:rFonts w:ascii="仿宋_GB2312" w:hAnsi="仿宋_GB2312" w:cs="仿宋_GB2312" w:hint="eastAsia"/>
          <w:kern w:val="0"/>
          <w:szCs w:val="32"/>
        </w:rPr>
        <w:t>立即开展流行病学调查，并于24小时内完成。同时，快速追踪密切接触者，防止疫情蔓延。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7.病例报告：医疗机构发现病例后立即进行网络直报，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疾控机构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接到报告后应当立即调查核实，并于2小时内完成三级确认审核。无网络直报条件的填写传染病报告卡并在2小时内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寄送疾控机构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，由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疾控机构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进行网络直报。医疗机构需在24小时内，根据实验室检测结果，结合病情进展及时对病例分类、临床严重程度对网络直报病例进行订正。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（二）聚集性疫情监测报告。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疾控机构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接到聚集性疫情报告后2小时内在突发公共卫生事件报告管理信息系统进行网络直报，同时报告当地卫生健康行政部门，由当地卫生健康行政部门立即报告当地人民政府，同时报告上级卫生健康行政部门和国务院卫生健康主管部门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（三）社区疫情监测。</w:t>
      </w:r>
      <w:r>
        <w:rPr>
          <w:rFonts w:ascii="仿宋_GB2312" w:hAnsi="仿宋_GB2312" w:cs="仿宋_GB2312" w:hint="eastAsia"/>
          <w:kern w:val="0"/>
          <w:szCs w:val="32"/>
        </w:rPr>
        <w:t>联防联控、群防群控，基层社区（村）、单位实行网格化管理，做好辖区和单位内人员往来摸排、健康监测登记和体温监测，发现可疑病例及时向附近的疾病预防控制机构或者医疗机构报告。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lastRenderedPageBreak/>
        <w:t>（四）单位和个人监测。</w:t>
      </w:r>
      <w:r>
        <w:rPr>
          <w:rFonts w:ascii="仿宋_GB2312" w:hAnsi="仿宋_GB2312" w:cs="仿宋_GB2312" w:hint="eastAsia"/>
          <w:kern w:val="0"/>
          <w:szCs w:val="32"/>
        </w:rPr>
        <w:t>鼓励单位和个人发现新冠肺炎病人或疑似新冠肺炎病人时，及时向附近的疾病预防控制机构或者医疗机构报告。新冠肺炎病人或疑似新冠肺炎病人拒绝配合的，依据《传染病防治法》中乙类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甲管类条款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，可强制执行。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仿宋_GB2312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t>二、早隔离、早治疗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（一）隔离医学观察及密切接触者管理。</w:t>
      </w:r>
      <w:r>
        <w:rPr>
          <w:rFonts w:ascii="仿宋_GB2312" w:hAnsi="仿宋_GB2312" w:cs="仿宋_GB2312"/>
          <w:kern w:val="0"/>
          <w:szCs w:val="32"/>
        </w:rPr>
        <w:t>各省</w:t>
      </w:r>
      <w:r>
        <w:rPr>
          <w:rFonts w:ascii="仿宋_GB2312" w:hAnsi="仿宋_GB2312" w:cs="仿宋_GB2312" w:hint="eastAsia"/>
          <w:kern w:val="0"/>
          <w:szCs w:val="32"/>
        </w:rPr>
        <w:t>份</w:t>
      </w:r>
      <w:r>
        <w:rPr>
          <w:rFonts w:ascii="仿宋_GB2312" w:hAnsi="仿宋_GB2312" w:cs="仿宋_GB2312"/>
          <w:kern w:val="0"/>
          <w:szCs w:val="32"/>
        </w:rPr>
        <w:t>应</w:t>
      </w:r>
      <w:r>
        <w:rPr>
          <w:rFonts w:ascii="仿宋_GB2312" w:hAnsi="仿宋_GB2312" w:cs="仿宋_GB2312" w:hint="eastAsia"/>
          <w:szCs w:val="32"/>
        </w:rPr>
        <w:t>当</w:t>
      </w:r>
      <w:r>
        <w:rPr>
          <w:rFonts w:ascii="仿宋_GB2312" w:hAnsi="仿宋_GB2312" w:cs="仿宋_GB2312"/>
          <w:kern w:val="0"/>
          <w:szCs w:val="32"/>
        </w:rPr>
        <w:t>设置</w:t>
      </w:r>
      <w:r>
        <w:rPr>
          <w:rFonts w:ascii="仿宋_GB2312" w:hAnsi="仿宋_GB2312" w:cs="仿宋_GB2312" w:hint="eastAsia"/>
          <w:kern w:val="0"/>
          <w:szCs w:val="32"/>
        </w:rPr>
        <w:t>集中医学隔离观察点</w:t>
      </w:r>
      <w:r>
        <w:rPr>
          <w:rFonts w:ascii="仿宋_GB2312" w:hAnsi="仿宋_GB2312" w:cs="仿宋_GB2312"/>
          <w:kern w:val="0"/>
          <w:szCs w:val="32"/>
        </w:rPr>
        <w:t>。</w:t>
      </w:r>
      <w:r>
        <w:rPr>
          <w:rFonts w:ascii="仿宋_GB2312" w:hAnsi="仿宋_GB2312" w:cs="仿宋_GB2312" w:hint="eastAsia"/>
          <w:kern w:val="0"/>
          <w:szCs w:val="32"/>
        </w:rPr>
        <w:t>发现相关</w:t>
      </w:r>
      <w:r>
        <w:rPr>
          <w:rFonts w:ascii="仿宋_GB2312" w:hAnsi="仿宋_GB2312" w:cs="仿宋_GB2312"/>
          <w:kern w:val="0"/>
          <w:szCs w:val="32"/>
        </w:rPr>
        <w:t>病例后</w:t>
      </w:r>
      <w:r>
        <w:rPr>
          <w:rFonts w:ascii="仿宋_GB2312" w:hAnsi="仿宋_GB2312" w:cs="仿宋_GB2312" w:hint="eastAsia"/>
          <w:kern w:val="0"/>
          <w:szCs w:val="32"/>
        </w:rPr>
        <w:t>，立即采取隔离措施，追踪密切接触者，落实可疑病例就地医疗救治和疫情防控的属地化管理，防止疫情扩散蔓延。</w:t>
      </w:r>
      <w:r>
        <w:rPr>
          <w:rFonts w:ascii="仿宋_GB2312" w:hAnsi="仿宋_GB2312" w:cs="仿宋_GB2312"/>
          <w:kern w:val="0"/>
          <w:szCs w:val="32"/>
        </w:rPr>
        <w:t>同时，做好医务人员防护措施，严防院内感染。县（区）级卫生健康行政部门会同相关部门组织实施密切接触者追踪和管理，应</w:t>
      </w:r>
      <w:r>
        <w:rPr>
          <w:rFonts w:ascii="仿宋_GB2312" w:hAnsi="仿宋_GB2312" w:cs="仿宋_GB2312" w:hint="eastAsia"/>
          <w:szCs w:val="32"/>
        </w:rPr>
        <w:t>当</w:t>
      </w:r>
      <w:r>
        <w:rPr>
          <w:rFonts w:ascii="仿宋_GB2312" w:hAnsi="仿宋_GB2312" w:cs="仿宋_GB2312"/>
          <w:kern w:val="0"/>
          <w:szCs w:val="32"/>
        </w:rPr>
        <w:t>根据密切接触者管理方案（第</w:t>
      </w:r>
      <w:r>
        <w:rPr>
          <w:rFonts w:ascii="仿宋_GB2312" w:hAnsi="仿宋_GB2312" w:cs="仿宋_GB2312" w:hint="eastAsia"/>
          <w:kern w:val="0"/>
          <w:szCs w:val="32"/>
        </w:rPr>
        <w:t>五</w:t>
      </w:r>
      <w:r>
        <w:rPr>
          <w:rFonts w:ascii="仿宋_GB2312" w:hAnsi="仿宋_GB2312" w:cs="仿宋_GB2312"/>
          <w:kern w:val="0"/>
          <w:szCs w:val="32"/>
        </w:rPr>
        <w:t>版）明确解除隔离标准。</w:t>
      </w:r>
    </w:p>
    <w:p w:rsidR="004D75F9" w:rsidRDefault="004D75F9" w:rsidP="004D75F9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（二）医疗救治。</w:t>
      </w:r>
      <w:r>
        <w:rPr>
          <w:rFonts w:ascii="仿宋_GB2312" w:hAnsi="仿宋_GB2312" w:cs="仿宋_GB2312" w:hint="eastAsia"/>
          <w:kern w:val="0"/>
          <w:szCs w:val="32"/>
        </w:rPr>
        <w:t>各省份指定</w:t>
      </w:r>
      <w:r>
        <w:rPr>
          <w:rFonts w:ascii="仿宋_GB2312" w:hAnsi="仿宋_GB2312" w:cs="仿宋_GB2312"/>
          <w:kern w:val="0"/>
          <w:szCs w:val="32"/>
        </w:rPr>
        <w:t>定</w:t>
      </w:r>
      <w:r>
        <w:rPr>
          <w:rFonts w:ascii="仿宋_GB2312" w:hAnsi="仿宋_GB2312" w:cs="仿宋_GB2312" w:hint="eastAsia"/>
          <w:kern w:val="0"/>
          <w:szCs w:val="32"/>
        </w:rPr>
        <w:t>点收治医院，并成立医疗救治专家组，在出现病例后，指导收治医院做好医疗救治工作，推进医疗救治关口前移，提早提供医疗服务，加强对轻症患者的医疗救治，减少轻症向重症的转化，重点加强重症病例救治，降低病死率。</w:t>
      </w:r>
      <w:r>
        <w:rPr>
          <w:rFonts w:ascii="仿宋_GB2312" w:hAnsi="仿宋_GB2312" w:cs="仿宋_GB2312"/>
          <w:kern w:val="0"/>
          <w:szCs w:val="32"/>
        </w:rPr>
        <w:t>各医疗机构根据《诊疗方案》对病人进行分类治疗，采用对症和支持治疗、抗病毒、抗炎、中西医结合等方法综合施治，对符合解除隔离</w:t>
      </w:r>
      <w:r>
        <w:rPr>
          <w:rFonts w:ascii="仿宋_GB2312" w:hAnsi="仿宋_GB2312" w:cs="仿宋_GB2312" w:hint="eastAsia"/>
          <w:kern w:val="0"/>
          <w:szCs w:val="32"/>
        </w:rPr>
        <w:t>和</w:t>
      </w:r>
      <w:r>
        <w:rPr>
          <w:rFonts w:ascii="仿宋_GB2312" w:hAnsi="仿宋_GB2312" w:cs="仿宋_GB2312"/>
          <w:kern w:val="0"/>
          <w:szCs w:val="32"/>
        </w:rPr>
        <w:t>出院标准的病人及时安排解除隔离或出院。</w:t>
      </w:r>
    </w:p>
    <w:p w:rsidR="004D75F9" w:rsidRDefault="004D75F9" w:rsidP="004D75F9">
      <w:pPr>
        <w:pStyle w:val="a4"/>
        <w:spacing w:line="360" w:lineRule="auto"/>
        <w:ind w:firstLineChars="0" w:firstLine="0"/>
        <w:rPr>
          <w:sz w:val="28"/>
        </w:rPr>
      </w:pPr>
    </w:p>
    <w:p w:rsidR="004D75F9" w:rsidRDefault="004D75F9" w:rsidP="004D75F9">
      <w:pPr>
        <w:pStyle w:val="a4"/>
        <w:spacing w:line="360" w:lineRule="auto"/>
        <w:ind w:firstLineChars="0" w:firstLine="0"/>
        <w:jc w:val="center"/>
        <w:rPr>
          <w:sz w:val="28"/>
        </w:rPr>
      </w:pPr>
      <w:r w:rsidRPr="002B491C">
        <w:rPr>
          <w:noProof/>
          <w:sz w:val="28"/>
        </w:rPr>
        <w:lastRenderedPageBreak/>
        <w:drawing>
          <wp:inline distT="0" distB="0" distL="0" distR="0">
            <wp:extent cx="5204460" cy="6035040"/>
            <wp:effectExtent l="0" t="0" r="0" b="3810"/>
            <wp:docPr id="1" name="图片 1" descr="03c64a60314fef0680ed5e298e2b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c64a60314fef0680ed5e298e2b0b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1206500</wp:posOffset>
                </wp:positionV>
                <wp:extent cx="419100" cy="297180"/>
                <wp:effectExtent l="4445" t="0" r="0" b="12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5F9" w:rsidRDefault="004D75F9" w:rsidP="004D7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.35pt;margin-top:95pt;width:33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" stroked="f" strokeweight="1.25pt">
                <v:textbox>
                  <w:txbxContent>
                    <w:p w:rsidR="004D75F9" w:rsidRDefault="004D75F9" w:rsidP="004D75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1388745</wp:posOffset>
                </wp:positionV>
                <wp:extent cx="254000" cy="254000"/>
                <wp:effectExtent l="8890" t="17145" r="13335" b="1460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772B" id="矩形 2" o:spid="_x0000_s1026" style="position:absolute;left:0;text-align:left;margin-left:27.7pt;margin-top:109.35pt;width:20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" strokecolor="white" strokeweight="1.25pt"/>
            </w:pict>
          </mc:Fallback>
        </mc:AlternateContent>
      </w:r>
    </w:p>
    <w:p w:rsidR="004D75F9" w:rsidRDefault="004D75F9" w:rsidP="004D75F9">
      <w:pPr>
        <w:pStyle w:val="a4"/>
        <w:spacing w:line="360" w:lineRule="auto"/>
        <w:ind w:firstLineChars="0" w:firstLine="0"/>
        <w:jc w:val="center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早发现早报告流程图</w:t>
      </w:r>
    </w:p>
    <w:p w:rsidR="004D75F9" w:rsidRDefault="004D75F9" w:rsidP="004D75F9">
      <w:pPr>
        <w:pStyle w:val="a4"/>
        <w:spacing w:line="360" w:lineRule="auto"/>
        <w:ind w:firstLineChars="0" w:firstLine="0"/>
        <w:rPr>
          <w:sz w:val="28"/>
        </w:rPr>
      </w:pPr>
    </w:p>
    <w:p w:rsidR="004D75F9" w:rsidRDefault="004D75F9" w:rsidP="004D75F9">
      <w:pPr>
        <w:pStyle w:val="a3"/>
        <w:spacing w:before="0" w:beforeAutospacing="0" w:after="0" w:afterAutospacing="0" w:line="360" w:lineRule="auto"/>
        <w:rPr>
          <w:rFonts w:ascii="黑体" w:eastAsia="黑体" w:hAnsi="黑体" w:hint="eastAsia"/>
          <w:sz w:val="32"/>
          <w:szCs w:val="32"/>
        </w:rPr>
      </w:pPr>
    </w:p>
    <w:p w:rsidR="004D75F9" w:rsidRDefault="004D75F9" w:rsidP="004D75F9">
      <w:pPr>
        <w:pStyle w:val="a3"/>
        <w:spacing w:before="0" w:beforeAutospacing="0" w:after="0" w:afterAutospacing="0" w:line="360" w:lineRule="auto"/>
        <w:rPr>
          <w:rFonts w:ascii="黑体" w:eastAsia="黑体" w:hAnsi="黑体" w:hint="eastAsia"/>
          <w:sz w:val="32"/>
          <w:szCs w:val="32"/>
        </w:rPr>
      </w:pPr>
    </w:p>
    <w:p w:rsidR="004D75F9" w:rsidRDefault="004D75F9" w:rsidP="004D75F9">
      <w:pPr>
        <w:pStyle w:val="a3"/>
        <w:spacing w:before="0" w:beforeAutospacing="0" w:after="0" w:afterAutospacing="0" w:line="360" w:lineRule="auto"/>
        <w:rPr>
          <w:rFonts w:ascii="黑体" w:eastAsia="黑体" w:hAnsi="黑体" w:hint="eastAsia"/>
          <w:sz w:val="32"/>
          <w:szCs w:val="32"/>
        </w:rPr>
      </w:pPr>
    </w:p>
    <w:p w:rsidR="004D75F9" w:rsidRDefault="004D75F9" w:rsidP="004D75F9">
      <w:pPr>
        <w:pStyle w:val="a3"/>
        <w:spacing w:before="0" w:beforeAutospacing="0" w:after="0" w:afterAutospacing="0" w:line="360" w:lineRule="auto"/>
        <w:rPr>
          <w:rFonts w:ascii="黑体" w:eastAsia="黑体" w:hAnsi="黑体" w:hint="eastAsia"/>
          <w:sz w:val="32"/>
          <w:szCs w:val="32"/>
        </w:rPr>
      </w:pPr>
    </w:p>
    <w:p w:rsidR="00E3718B" w:rsidRDefault="00E3718B">
      <w:bookmarkStart w:id="0" w:name="_GoBack"/>
      <w:bookmarkEnd w:id="0"/>
    </w:p>
    <w:sectPr w:rsidR="00E3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79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A70FF"/>
    <w:rsid w:val="004D6681"/>
    <w:rsid w:val="004D75F9"/>
    <w:rsid w:val="004F355D"/>
    <w:rsid w:val="005126FF"/>
    <w:rsid w:val="00587462"/>
    <w:rsid w:val="005B0B81"/>
    <w:rsid w:val="005E2238"/>
    <w:rsid w:val="00616302"/>
    <w:rsid w:val="006A48E9"/>
    <w:rsid w:val="008219D9"/>
    <w:rsid w:val="00891579"/>
    <w:rsid w:val="0096006B"/>
    <w:rsid w:val="009A3579"/>
    <w:rsid w:val="00A34B4E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A1DA4"/>
    <w:rsid w:val="00FA2A0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D97F5-74F3-44B0-9C2D-E2C03281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F9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D7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Normal Indent"/>
    <w:basedOn w:val="a"/>
    <w:uiPriority w:val="99"/>
    <w:unhideWhenUsed/>
    <w:qFormat/>
    <w:rsid w:val="004D7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2020-02-25T01:23:00Z</dcterms:created>
  <dcterms:modified xsi:type="dcterms:W3CDTF">2020-02-25T01:23:00Z</dcterms:modified>
</cp:coreProperties>
</file>