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Y="1617"/>
        <w:tblW w:w="14174" w:type="dxa"/>
        <w:tblInd w:w="0" w:type="dxa"/>
        <w:tblLayout w:type="fixed"/>
        <w:tblCellMar>
          <w:top w:w="0" w:type="dxa"/>
          <w:left w:w="108" w:type="dxa"/>
          <w:bottom w:w="0" w:type="dxa"/>
          <w:right w:w="108" w:type="dxa"/>
        </w:tblCellMar>
      </w:tblPr>
      <w:tblGrid>
        <w:gridCol w:w="410"/>
        <w:gridCol w:w="455"/>
        <w:gridCol w:w="410"/>
        <w:gridCol w:w="603"/>
        <w:gridCol w:w="410"/>
        <w:gridCol w:w="797"/>
        <w:gridCol w:w="797"/>
        <w:gridCol w:w="797"/>
        <w:gridCol w:w="1087"/>
        <w:gridCol w:w="797"/>
        <w:gridCol w:w="797"/>
        <w:gridCol w:w="797"/>
        <w:gridCol w:w="1087"/>
        <w:gridCol w:w="1087"/>
        <w:gridCol w:w="1087"/>
        <w:gridCol w:w="1087"/>
        <w:gridCol w:w="1669"/>
      </w:tblGrid>
      <w:tr>
        <w:tblPrEx>
          <w:tblCellMar>
            <w:top w:w="0" w:type="dxa"/>
            <w:left w:w="108" w:type="dxa"/>
            <w:bottom w:w="0" w:type="dxa"/>
            <w:right w:w="108" w:type="dxa"/>
          </w:tblCellMar>
        </w:tblPrEx>
        <w:trPr>
          <w:trHeight w:val="1190" w:hRule="atLeast"/>
        </w:trPr>
        <w:tc>
          <w:tcPr>
            <w:tcW w:w="14174" w:type="dxa"/>
            <w:gridSpan w:val="17"/>
            <w:tcBorders>
              <w:bottom w:val="single" w:color="auto" w:sz="4" w:space="0"/>
            </w:tcBorders>
            <w:noWrap/>
            <w:vAlign w:val="center"/>
          </w:tcPr>
          <w:p>
            <w:pPr>
              <w:jc w:val="both"/>
              <w:rPr>
                <w:rFonts w:hint="eastAsia" w:ascii="宋体" w:hAnsi="宋体" w:eastAsia="宋体" w:cs="宋体"/>
                <w:b w:val="0"/>
                <w:bCs w:val="0"/>
                <w:color w:val="000000"/>
                <w:kern w:val="0"/>
                <w:sz w:val="22"/>
                <w:szCs w:val="22"/>
              </w:rPr>
            </w:pPr>
            <w:r>
              <w:rPr>
                <w:rFonts w:hint="eastAsia" w:ascii="黑体" w:hAnsi="黑体" w:eastAsia="黑体" w:cs="黑体"/>
                <w:b w:val="0"/>
                <w:bCs w:val="0"/>
                <w:color w:val="000000"/>
                <w:kern w:val="0"/>
                <w:sz w:val="32"/>
                <w:szCs w:val="32"/>
              </w:rPr>
              <w:t>附件3</w:t>
            </w:r>
          </w:p>
          <w:p>
            <w:pPr>
              <w:keepNext w:val="0"/>
              <w:keepLines w:val="0"/>
              <w:pageBreakBefore w:val="0"/>
              <w:widowControl w:val="0"/>
              <w:kinsoku/>
              <w:wordWrap/>
              <w:overflowPunct/>
              <w:topLinePunct w:val="0"/>
              <w:autoSpaceDE/>
              <w:autoSpaceDN/>
              <w:bidi w:val="0"/>
              <w:adjustRightInd/>
              <w:snapToGrid/>
              <w:spacing w:after="476" w:afterLines="100" w:line="340" w:lineRule="exact"/>
              <w:jc w:val="center"/>
              <w:textAlignment w:val="auto"/>
              <w:rPr>
                <w:rFonts w:hint="eastAsia" w:ascii="方正大标宋简体" w:eastAsia="方正大标宋简体"/>
                <w:b w:val="0"/>
                <w:bCs w:val="0"/>
                <w:color w:val="000000"/>
                <w:sz w:val="32"/>
                <w:szCs w:val="32"/>
              </w:rPr>
            </w:pPr>
            <w:r>
              <w:rPr>
                <w:rFonts w:hint="eastAsia" w:ascii="方正大标宋简体" w:eastAsia="方正大标宋简体"/>
                <w:b w:val="0"/>
                <w:bCs w:val="0"/>
                <w:color w:val="000000"/>
                <w:sz w:val="32"/>
                <w:szCs w:val="32"/>
              </w:rPr>
              <w:t>QFLP托管人向</w:t>
            </w:r>
            <w:r>
              <w:rPr>
                <w:rFonts w:hint="eastAsia" w:ascii="方正大标宋简体" w:eastAsia="方正大标宋简体"/>
                <w:b w:val="0"/>
                <w:bCs w:val="0"/>
                <w:color w:val="000000"/>
                <w:sz w:val="32"/>
                <w:szCs w:val="32"/>
                <w:lang w:eastAsia="zh-CN"/>
              </w:rPr>
              <w:t>市财政局（金融办）</w:t>
            </w:r>
            <w:bookmarkStart w:id="0" w:name="_GoBack"/>
            <w:bookmarkEnd w:id="0"/>
          </w:p>
          <w:p>
            <w:pPr>
              <w:keepNext w:val="0"/>
              <w:keepLines w:val="0"/>
              <w:pageBreakBefore w:val="0"/>
              <w:widowControl w:val="0"/>
              <w:kinsoku/>
              <w:wordWrap/>
              <w:overflowPunct/>
              <w:topLinePunct w:val="0"/>
              <w:autoSpaceDE/>
              <w:autoSpaceDN/>
              <w:bidi w:val="0"/>
              <w:adjustRightInd/>
              <w:snapToGrid/>
              <w:spacing w:after="476" w:afterLines="100" w:line="340" w:lineRule="exact"/>
              <w:jc w:val="center"/>
              <w:textAlignment w:val="auto"/>
              <w:rPr>
                <w:rFonts w:ascii="宋体" w:hAnsi="宋体" w:eastAsia="宋体" w:cs="宋体"/>
                <w:b/>
                <w:bCs/>
                <w:color w:val="000000"/>
                <w:kern w:val="0"/>
                <w:sz w:val="22"/>
                <w:szCs w:val="22"/>
              </w:rPr>
            </w:pPr>
            <w:r>
              <w:rPr>
                <w:rFonts w:hint="eastAsia" w:ascii="方正大标宋简体" w:eastAsia="方正大标宋简体"/>
                <w:b w:val="0"/>
                <w:bCs w:val="0"/>
                <w:color w:val="000000"/>
                <w:sz w:val="32"/>
                <w:szCs w:val="32"/>
              </w:rPr>
              <w:t>报送报表（20  年第  季度）</w:t>
            </w:r>
          </w:p>
        </w:tc>
      </w:tr>
      <w:tr>
        <w:tblPrEx>
          <w:tblCellMar>
            <w:top w:w="0" w:type="dxa"/>
            <w:left w:w="108" w:type="dxa"/>
            <w:bottom w:w="0" w:type="dxa"/>
            <w:right w:w="108" w:type="dxa"/>
          </w:tblCellMar>
        </w:tblPrEx>
        <w:trPr>
          <w:trHeight w:val="397" w:hRule="atLeast"/>
        </w:trPr>
        <w:tc>
          <w:tcPr>
            <w:tcW w:w="14174" w:type="dxa"/>
            <w:gridSpan w:val="17"/>
            <w:tcBorders>
              <w:top w:val="single" w:color="auto" w:sz="4" w:space="0"/>
              <w:left w:val="single" w:color="auto" w:sz="4" w:space="0"/>
              <w:bottom w:val="single" w:color="auto" w:sz="4" w:space="0"/>
              <w:right w:val="single" w:color="000000"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托管人名称（公章）：                                                                         单位：        万（美元）</w:t>
            </w:r>
          </w:p>
        </w:tc>
      </w:tr>
      <w:tr>
        <w:tblPrEx>
          <w:tblCellMar>
            <w:top w:w="0" w:type="dxa"/>
            <w:left w:w="108" w:type="dxa"/>
            <w:bottom w:w="0" w:type="dxa"/>
            <w:right w:w="108" w:type="dxa"/>
          </w:tblCellMar>
        </w:tblPrEx>
        <w:trPr>
          <w:trHeight w:val="454" w:hRule="atLeast"/>
        </w:trPr>
        <w:tc>
          <w:tcPr>
            <w:tcW w:w="4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45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管理企业</w:t>
            </w:r>
          </w:p>
        </w:tc>
        <w:tc>
          <w:tcPr>
            <w:tcW w:w="4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管理企业类型</w:t>
            </w:r>
          </w:p>
        </w:tc>
        <w:tc>
          <w:tcPr>
            <w:tcW w:w="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管理企业QFLP规模</w:t>
            </w:r>
          </w:p>
        </w:tc>
        <w:tc>
          <w:tcPr>
            <w:tcW w:w="4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基金名称</w:t>
            </w:r>
          </w:p>
        </w:tc>
        <w:tc>
          <w:tcPr>
            <w:tcW w:w="347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资金汇入 </w:t>
            </w:r>
          </w:p>
        </w:tc>
        <w:tc>
          <w:tcPr>
            <w:tcW w:w="347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资金汇出</w:t>
            </w:r>
          </w:p>
        </w:tc>
        <w:tc>
          <w:tcPr>
            <w:tcW w:w="493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净汇入</w:t>
            </w:r>
          </w:p>
        </w:tc>
      </w:tr>
      <w:tr>
        <w:tblPrEx>
          <w:tblCellMar>
            <w:top w:w="0" w:type="dxa"/>
            <w:left w:w="108" w:type="dxa"/>
            <w:bottom w:w="0" w:type="dxa"/>
            <w:right w:w="108" w:type="dxa"/>
          </w:tblCellMar>
        </w:tblPrEx>
        <w:trPr>
          <w:trHeight w:val="1787" w:hRule="atLeast"/>
        </w:trPr>
        <w:tc>
          <w:tcPr>
            <w:tcW w:w="4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p>
        </w:tc>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p>
        </w:tc>
        <w:tc>
          <w:tcPr>
            <w:tcW w:w="4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p>
        </w:tc>
        <w:tc>
          <w:tcPr>
            <w:tcW w:w="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p>
        </w:tc>
        <w:tc>
          <w:tcPr>
            <w:tcW w:w="4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p>
        </w:tc>
        <w:tc>
          <w:tcPr>
            <w:tcW w:w="79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外汇（①）</w:t>
            </w:r>
          </w:p>
        </w:tc>
        <w:tc>
          <w:tcPr>
            <w:tcW w:w="79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其中：结汇（⑤）</w:t>
            </w:r>
          </w:p>
        </w:tc>
        <w:tc>
          <w:tcPr>
            <w:tcW w:w="79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跨境人民币（②）</w:t>
            </w:r>
          </w:p>
        </w:tc>
        <w:tc>
          <w:tcPr>
            <w:tcW w:w="108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合计（①+②）</w:t>
            </w:r>
          </w:p>
        </w:tc>
        <w:tc>
          <w:tcPr>
            <w:tcW w:w="79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外汇（③）</w:t>
            </w:r>
          </w:p>
        </w:tc>
        <w:tc>
          <w:tcPr>
            <w:tcW w:w="79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其中：购汇（⑥）</w:t>
            </w:r>
          </w:p>
        </w:tc>
        <w:tc>
          <w:tcPr>
            <w:tcW w:w="79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跨境人民币（④）</w:t>
            </w:r>
          </w:p>
        </w:tc>
        <w:tc>
          <w:tcPr>
            <w:tcW w:w="108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合计（③+④）</w:t>
            </w:r>
          </w:p>
        </w:tc>
        <w:tc>
          <w:tcPr>
            <w:tcW w:w="108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外汇（①-③）</w:t>
            </w:r>
          </w:p>
        </w:tc>
        <w:tc>
          <w:tcPr>
            <w:tcW w:w="108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其中：净结汇（⑤-⑥）</w:t>
            </w:r>
          </w:p>
        </w:tc>
        <w:tc>
          <w:tcPr>
            <w:tcW w:w="108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跨境人民币（②-④）</w:t>
            </w:r>
          </w:p>
        </w:tc>
        <w:tc>
          <w:tcPr>
            <w:tcW w:w="1669"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合计（①+②-③-④）</w:t>
            </w:r>
          </w:p>
        </w:tc>
      </w:tr>
      <w:tr>
        <w:tblPrEx>
          <w:tblCellMar>
            <w:top w:w="0" w:type="dxa"/>
            <w:left w:w="108" w:type="dxa"/>
            <w:bottom w:w="0" w:type="dxa"/>
            <w:right w:w="108" w:type="dxa"/>
          </w:tblCellMar>
        </w:tblPrEx>
        <w:trPr>
          <w:trHeight w:val="405" w:hRule="atLeast"/>
        </w:trPr>
        <w:tc>
          <w:tcPr>
            <w:tcW w:w="41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55"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9"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19" w:hRule="atLeast"/>
        </w:trPr>
        <w:tc>
          <w:tcPr>
            <w:tcW w:w="41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55"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9"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93" w:hRule="atLeast"/>
        </w:trPr>
        <w:tc>
          <w:tcPr>
            <w:tcW w:w="1275"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6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9"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05" w:hRule="atLeast"/>
        </w:trPr>
        <w:tc>
          <w:tcPr>
            <w:tcW w:w="14174" w:type="dxa"/>
            <w:gridSpan w:val="17"/>
            <w:tcBorders>
              <w:top w:val="single" w:color="auto" w:sz="4" w:space="0"/>
              <w:left w:val="single" w:color="auto" w:sz="4" w:space="0"/>
              <w:bottom w:val="single" w:color="auto" w:sz="4" w:space="0"/>
              <w:right w:val="single" w:color="000000" w:sz="4" w:space="0"/>
            </w:tcBorders>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填表人：                 联系方式：           </w:t>
            </w:r>
            <w:r>
              <w:rPr>
                <w:rFonts w:hint="eastAsia" w:ascii="宋体" w:hAnsi="宋体" w:cs="宋体"/>
                <w:color w:val="000000"/>
                <w:kern w:val="0"/>
                <w:sz w:val="22"/>
                <w:szCs w:val="22"/>
                <w:lang w:val="en-US" w:eastAsia="zh-CN"/>
              </w:rPr>
              <w:t xml:space="preserve">     </w:t>
            </w:r>
            <w:r>
              <w:rPr>
                <w:rFonts w:hint="eastAsia" w:ascii="宋体" w:hAnsi="宋体" w:eastAsia="宋体" w:cs="宋体"/>
                <w:color w:val="000000"/>
                <w:kern w:val="0"/>
                <w:sz w:val="22"/>
                <w:szCs w:val="22"/>
              </w:rPr>
              <w:t xml:space="preserve"> </w:t>
            </w:r>
            <w:r>
              <w:rPr>
                <w:rFonts w:hint="eastAsia" w:ascii="宋体" w:hAnsi="宋体" w:cs="宋体"/>
                <w:color w:val="000000"/>
                <w:kern w:val="0"/>
                <w:sz w:val="22"/>
                <w:szCs w:val="22"/>
                <w:lang w:val="en-US" w:eastAsia="zh-CN"/>
              </w:rPr>
              <w:t xml:space="preserve">         </w:t>
            </w:r>
            <w:r>
              <w:rPr>
                <w:rFonts w:hint="eastAsia" w:ascii="宋体" w:hAnsi="宋体" w:eastAsia="宋体" w:cs="宋体"/>
                <w:color w:val="000000"/>
                <w:kern w:val="0"/>
                <w:sz w:val="22"/>
                <w:szCs w:val="22"/>
              </w:rPr>
              <w:t xml:space="preserve">  </w:t>
            </w:r>
            <w:r>
              <w:rPr>
                <w:rFonts w:hint="eastAsia" w:ascii="宋体" w:hAnsi="宋体" w:cs="宋体"/>
                <w:color w:val="000000"/>
                <w:kern w:val="0"/>
                <w:sz w:val="22"/>
                <w:szCs w:val="22"/>
                <w:lang w:val="en-US" w:eastAsia="zh-CN"/>
              </w:rPr>
              <w:t xml:space="preserve"> </w:t>
            </w:r>
            <w:r>
              <w:rPr>
                <w:rFonts w:hint="eastAsia" w:ascii="宋体" w:hAnsi="宋体" w:eastAsia="宋体" w:cs="宋体"/>
                <w:color w:val="000000"/>
                <w:kern w:val="0"/>
                <w:sz w:val="22"/>
                <w:szCs w:val="22"/>
              </w:rPr>
              <w:t xml:space="preserve"> 负责人：              填表时间：  年    月    日</w:t>
            </w:r>
          </w:p>
        </w:tc>
      </w:tr>
      <w:tr>
        <w:tblPrEx>
          <w:tblCellMar>
            <w:top w:w="0" w:type="dxa"/>
            <w:left w:w="108" w:type="dxa"/>
            <w:bottom w:w="0" w:type="dxa"/>
            <w:right w:w="108" w:type="dxa"/>
          </w:tblCellMar>
        </w:tblPrEx>
        <w:trPr>
          <w:trHeight w:val="1578" w:hRule="atLeast"/>
        </w:trPr>
        <w:tc>
          <w:tcPr>
            <w:tcW w:w="14174" w:type="dxa"/>
            <w:gridSpan w:val="1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填表说明：1. 本表填表人为托管人，并按照当前季度同一托管人托管的所有试点基金实际资金汇入出情况填报。除跨境人民币外，均填报折美元数。汇率应参照上月外汇局公布的各种货币对美元折算率表。2.管理企业类型填写：内资或外资。3.管理企业 QFLP 规模指：管理企业向</w:t>
            </w:r>
            <w:r>
              <w:rPr>
                <w:rFonts w:hint="eastAsia" w:ascii="宋体" w:hAnsi="宋体" w:cs="宋体"/>
                <w:color w:val="000000"/>
                <w:kern w:val="0"/>
                <w:sz w:val="18"/>
                <w:szCs w:val="18"/>
                <w:lang w:eastAsia="zh-CN"/>
              </w:rPr>
              <w:t>柳州市</w:t>
            </w:r>
            <w:r>
              <w:rPr>
                <w:rFonts w:hint="eastAsia" w:ascii="宋体" w:hAnsi="宋体" w:eastAsia="宋体" w:cs="宋体"/>
                <w:color w:val="000000"/>
                <w:kern w:val="0"/>
                <w:sz w:val="18"/>
                <w:szCs w:val="18"/>
              </w:rPr>
              <w:t>申请的募集境外资金规模。4.基金类型填写：公司制、合伙制。5. 单只试点基金 QFLP 规模指：管理企业在发起成立多只试点基金时，单只基金募集境外资金规模。6.净汇入金额=汇入资金额-汇出资金额；净结汇金额=结汇资金额-购汇资金。7. 托管人可根据业务情况增减相关行数。</w:t>
            </w:r>
          </w:p>
        </w:tc>
      </w:tr>
    </w:tbl>
    <w:p/>
    <w:sectPr>
      <w:footerReference r:id="rId3" w:type="default"/>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U1NmJkYjVmZGQxYmNhODYwYTEyODUxMDU3YWIifQ=="/>
  </w:docVars>
  <w:rsids>
    <w:rsidRoot w:val="623446C0"/>
    <w:rsid w:val="0BB04A3B"/>
    <w:rsid w:val="225678E3"/>
    <w:rsid w:val="298634AE"/>
    <w:rsid w:val="623446C0"/>
    <w:rsid w:val="7897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28"/>
      <w:szCs w:val="20"/>
      <w:lang w:val="zh-CN"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2024-04-17T01:33:00Z</dcterms:created>
  <dc:creator>剑雨潇潇</dc:creator>
  <cp:lastModifiedBy>剑雨潇潇</cp:lastModifiedBy>
  <dcterms:modified xsi:type="dcterms:W3CDTF">2024-04-17T01:37:36Z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53FEFF48104D43E4B395F7CC7726A48B_13</vt:lpwstr>
  </property>
</Properties>
</file>