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2F" w:rsidRDefault="00CE792F">
      <w:pPr>
        <w:adjustRightInd w:val="0"/>
        <w:snapToGrid w:val="0"/>
        <w:ind w:firstLine="0"/>
        <w:rPr>
          <w:rFonts w:ascii="仿宋_GB2312" w:eastAsia="仿宋_GB2312" w:hAnsi="宋体"/>
          <w:sz w:val="30"/>
          <w:szCs w:val="30"/>
          <w:lang w:val="fr-FR"/>
        </w:rPr>
      </w:pPr>
      <w:r>
        <w:rPr>
          <w:rFonts w:ascii="仿宋_GB2312" w:eastAsia="仿宋_GB2312" w:hAnsi="宋体" w:hint="eastAsia"/>
          <w:sz w:val="30"/>
          <w:szCs w:val="30"/>
          <w:lang w:val="fr-FR"/>
        </w:rPr>
        <w:t>附件</w:t>
      </w:r>
    </w:p>
    <w:p w:rsidR="00CE792F" w:rsidRDefault="00CE792F">
      <w:pPr>
        <w:widowControl/>
        <w:wordWrap w:val="0"/>
        <w:adjustRightInd w:val="0"/>
        <w:snapToGrid w:val="0"/>
        <w:spacing w:line="240" w:lineRule="auto"/>
        <w:ind w:firstLine="0"/>
        <w:jc w:val="center"/>
        <w:rPr>
          <w:rFonts w:ascii="华文中宋" w:eastAsia="华文中宋" w:hAnsi="华文中宋" w:cs="Arial"/>
          <w:bCs/>
          <w:smallCaps/>
          <w:color w:val="000000"/>
          <w:kern w:val="0"/>
          <w:sz w:val="44"/>
          <w:szCs w:val="44"/>
        </w:rPr>
      </w:pPr>
      <w:r>
        <w:rPr>
          <w:rFonts w:ascii="华文中宋" w:eastAsia="华文中宋" w:hAnsi="华文中宋" w:cs="Arial" w:hint="eastAsia"/>
          <w:bCs/>
          <w:smallCaps/>
          <w:color w:val="000000"/>
          <w:kern w:val="0"/>
          <w:sz w:val="44"/>
          <w:szCs w:val="44"/>
        </w:rPr>
        <w:t>社会保障卡加载金融功能总体方案</w:t>
      </w:r>
    </w:p>
    <w:p w:rsidR="00CE792F" w:rsidRDefault="00CE792F">
      <w:pPr>
        <w:widowControl/>
        <w:wordWrap w:val="0"/>
        <w:adjustRightInd w:val="0"/>
        <w:snapToGrid w:val="0"/>
        <w:spacing w:line="240" w:lineRule="auto"/>
        <w:ind w:firstLine="0"/>
        <w:jc w:val="center"/>
        <w:rPr>
          <w:rFonts w:ascii="华文中宋" w:eastAsia="华文中宋" w:hAnsi="华文中宋" w:cs="Arial"/>
          <w:bCs/>
          <w:smallCaps/>
          <w:color w:val="000000"/>
          <w:kern w:val="0"/>
          <w:sz w:val="44"/>
          <w:szCs w:val="44"/>
        </w:rPr>
      </w:pP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为推动社会保障卡加载金融功能工作，规范具有金融功能的社会保障卡的发行和管理，促进具有金融功能的社会保卡的应用，</w:t>
      </w:r>
      <w:r>
        <w:rPr>
          <w:rFonts w:ascii="仿宋_GB2312" w:eastAsia="仿宋_GB2312" w:hAnsi="宋体" w:hint="eastAsia"/>
          <w:sz w:val="30"/>
          <w:szCs w:val="30"/>
        </w:rPr>
        <w:t>编制本方案</w:t>
      </w:r>
      <w:r>
        <w:rPr>
          <w:rFonts w:ascii="仿宋_GB2312" w:eastAsia="仿宋_GB2312" w:hAnsi="宋体" w:hint="eastAsia"/>
          <w:sz w:val="30"/>
          <w:szCs w:val="30"/>
          <w:lang w:val="fr-FR"/>
        </w:rPr>
        <w:t>。</w:t>
      </w:r>
    </w:p>
    <w:p w:rsidR="00CE792F" w:rsidRDefault="00CE792F">
      <w:pPr>
        <w:adjustRightInd w:val="0"/>
        <w:snapToGrid w:val="0"/>
        <w:ind w:firstLineChars="200" w:firstLine="600"/>
        <w:rPr>
          <w:rFonts w:ascii="仿宋_GB2312" w:eastAsia="仿宋_GB2312" w:hAnsi="宋体"/>
          <w:sz w:val="30"/>
          <w:szCs w:val="30"/>
        </w:rPr>
      </w:pPr>
      <w:r>
        <w:rPr>
          <w:rFonts w:ascii="仿宋_GB2312" w:eastAsia="仿宋_GB2312" w:hAnsi="宋体" w:hint="eastAsia"/>
          <w:sz w:val="30"/>
          <w:szCs w:val="30"/>
        </w:rPr>
        <w:t>本方案确定了具有金融功能的社会保障卡的技术实现方式、应用领域和发行管理模式。各地人力资源社会保障部门（以下简称人社部门）联合商业银行等相关单位，按照人力资源社会保障部和人民银行的总体部署，在本方案确定的框架内，开展社会保障卡加载金融功能工作。</w:t>
      </w:r>
    </w:p>
    <w:p w:rsidR="00CE792F" w:rsidRDefault="00CE792F">
      <w:pPr>
        <w:widowControl/>
        <w:wordWrap w:val="0"/>
        <w:adjustRightInd w:val="0"/>
        <w:snapToGrid w:val="0"/>
        <w:ind w:firstLineChars="200" w:firstLine="600"/>
        <w:jc w:val="left"/>
        <w:rPr>
          <w:rFonts w:ascii="黑体" w:eastAsia="黑体" w:hAnsi="Arial" w:cs="Arial"/>
          <w:color w:val="000000"/>
          <w:kern w:val="0"/>
          <w:sz w:val="30"/>
          <w:szCs w:val="30"/>
        </w:rPr>
      </w:pPr>
      <w:r>
        <w:rPr>
          <w:rFonts w:ascii="黑体" w:eastAsia="黑体" w:hAnsi="Arial" w:cs="Arial" w:hint="eastAsia"/>
          <w:color w:val="000000"/>
          <w:kern w:val="0"/>
          <w:sz w:val="30"/>
          <w:szCs w:val="30"/>
        </w:rPr>
        <w:t>一、技术实现方式</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具有金融功能的社会保障卡采用单一芯片接触式CPU卡，社保应用与金融应用共置于同一个芯片之中，应用分设，密钥管理体系相互独立，支持各自功能的实现。</w:t>
      </w:r>
    </w:p>
    <w:p w:rsidR="00CE792F" w:rsidRDefault="00CE792F">
      <w:pPr>
        <w:widowControl/>
        <w:wordWrap w:val="0"/>
        <w:adjustRightInd w:val="0"/>
        <w:snapToGrid w:val="0"/>
        <w:ind w:firstLineChars="200" w:firstLine="600"/>
        <w:jc w:val="left"/>
        <w:rPr>
          <w:rFonts w:ascii="楷体_GB2312" w:eastAsia="楷体_GB2312" w:cs="Arial"/>
          <w:color w:val="000000"/>
          <w:kern w:val="0"/>
          <w:sz w:val="30"/>
          <w:szCs w:val="30"/>
        </w:rPr>
      </w:pPr>
      <w:r>
        <w:rPr>
          <w:rFonts w:ascii="楷体_GB2312" w:eastAsia="楷体_GB2312" w:hAnsi="Arial" w:cs="Arial" w:hint="eastAsia"/>
          <w:color w:val="000000"/>
          <w:kern w:val="0"/>
          <w:sz w:val="30"/>
          <w:szCs w:val="30"/>
        </w:rPr>
        <w:t>（一）卡片技术实现</w:t>
      </w:r>
    </w:p>
    <w:p w:rsidR="00CE792F" w:rsidRDefault="00CE792F">
      <w:pPr>
        <w:adjustRightInd w:val="0"/>
        <w:snapToGrid w:val="0"/>
        <w:ind w:firstLineChars="200" w:firstLine="600"/>
        <w:rPr>
          <w:rFonts w:ascii="仿宋_GB2312" w:eastAsia="仿宋_GB2312" w:hAnsi="宋体"/>
          <w:sz w:val="30"/>
          <w:szCs w:val="30"/>
          <w:lang w:val="fr-FR"/>
        </w:rPr>
      </w:pPr>
      <w:bookmarkStart w:id="0" w:name="_Toc275431637"/>
      <w:r>
        <w:rPr>
          <w:rFonts w:ascii="仿宋_GB2312" w:eastAsia="仿宋_GB2312" w:hAnsi="宋体" w:hint="eastAsia"/>
          <w:sz w:val="30"/>
          <w:szCs w:val="30"/>
          <w:lang w:val="fr-FR"/>
        </w:rPr>
        <w:t>1.芯片</w:t>
      </w:r>
      <w:bookmarkEnd w:id="0"/>
      <w:r>
        <w:rPr>
          <w:rFonts w:ascii="仿宋_GB2312" w:eastAsia="仿宋_GB2312" w:hAnsi="宋体" w:hint="eastAsia"/>
          <w:sz w:val="30"/>
          <w:szCs w:val="30"/>
          <w:lang w:val="fr-FR"/>
        </w:rPr>
        <w:t>。依据社保应用和金融应用需求，芯片存储介质采用高可靠性的EEPROM，具有接触式接口，支持《社会保障（个人）卡规范》和</w:t>
      </w:r>
      <w:r>
        <w:rPr>
          <w:rFonts w:ascii="仿宋_GB2312" w:eastAsia="仿宋_GB2312" w:hAnsi="宋体"/>
          <w:bCs/>
          <w:color w:val="000000"/>
          <w:sz w:val="30"/>
        </w:rPr>
        <w:t>《中国金融集成电路（IC）卡规范》</w:t>
      </w:r>
      <w:r>
        <w:rPr>
          <w:rFonts w:ascii="仿宋_GB2312" w:eastAsia="仿宋_GB2312" w:hAnsi="宋体" w:hint="eastAsia"/>
          <w:bCs/>
          <w:color w:val="000000"/>
          <w:sz w:val="30"/>
        </w:rPr>
        <w:t>（JR/T 0025—2010）</w:t>
      </w:r>
      <w:r>
        <w:rPr>
          <w:rFonts w:ascii="仿宋_GB2312" w:eastAsia="仿宋_GB2312" w:hAnsi="宋体" w:hint="eastAsia"/>
          <w:sz w:val="30"/>
          <w:szCs w:val="30"/>
          <w:lang w:val="fr-FR"/>
        </w:rPr>
        <w:t>定义的加密算法。</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2.卡片操作系统（COS）。采用单COS双应用的架构，采用硬掩膜技术，同时支持社保应用和金融应用。通过COS内部防火墙机制，确保社保应用和金融应用从安全、文件系统、命令等各方面进行独立管理，互不影响。</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lastRenderedPageBreak/>
        <w:t>3.</w:t>
      </w:r>
      <w:bookmarkStart w:id="1" w:name="_Toc275431639"/>
      <w:r>
        <w:rPr>
          <w:rFonts w:ascii="仿宋_GB2312" w:eastAsia="仿宋_GB2312" w:hAnsi="宋体" w:hint="eastAsia"/>
          <w:sz w:val="30"/>
          <w:szCs w:val="30"/>
          <w:lang w:val="fr-FR"/>
        </w:rPr>
        <w:t>文件结构</w:t>
      </w:r>
      <w:bookmarkEnd w:id="1"/>
      <w:r>
        <w:rPr>
          <w:rFonts w:ascii="仿宋_GB2312" w:eastAsia="仿宋_GB2312" w:hAnsi="宋体" w:hint="eastAsia"/>
          <w:sz w:val="30"/>
          <w:szCs w:val="30"/>
          <w:lang w:val="fr-FR"/>
        </w:rPr>
        <w:t>。卡片建立社保应用系统环境（SSSE）和金融支付系统环境（PSE）。社保、金融的数据文件和密钥文件分别建立在各自环境下。终端通过选择SSSE进入社保应用系统环境，选择PSE进入金融支付系统环境，此后依据《社会保障（个人）卡规范》和</w:t>
      </w:r>
      <w:r>
        <w:rPr>
          <w:rFonts w:ascii="仿宋_GB2312" w:eastAsia="仿宋_GB2312" w:hAnsi="宋体"/>
          <w:bCs/>
          <w:color w:val="000000"/>
          <w:sz w:val="30"/>
        </w:rPr>
        <w:t>《中国金融集成电路（IC）卡规范》</w:t>
      </w:r>
      <w:r>
        <w:rPr>
          <w:rFonts w:ascii="仿宋_GB2312" w:eastAsia="仿宋_GB2312" w:hAnsi="宋体" w:hint="eastAsia"/>
          <w:bCs/>
          <w:color w:val="000000"/>
          <w:sz w:val="30"/>
        </w:rPr>
        <w:t>（JR/T 0025—2010）</w:t>
      </w:r>
      <w:r>
        <w:rPr>
          <w:rFonts w:ascii="仿宋_GB2312" w:eastAsia="仿宋_GB2312" w:hAnsi="宋体" w:hint="eastAsia"/>
          <w:sz w:val="30"/>
          <w:szCs w:val="30"/>
          <w:lang w:val="fr-FR"/>
        </w:rPr>
        <w:t>定义的交易流程对卡片进行操作。</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4</w:t>
      </w:r>
      <w:r w:rsidR="00722CF3">
        <w:rPr>
          <w:rFonts w:ascii="仿宋_GB2312" w:eastAsia="仿宋_GB2312" w:hAnsi="宋体" w:hint="eastAsia"/>
          <w:sz w:val="30"/>
          <w:szCs w:val="30"/>
          <w:lang w:val="fr-FR"/>
        </w:rPr>
        <w:t>.</w:t>
      </w:r>
      <w:r>
        <w:rPr>
          <w:rFonts w:ascii="仿宋_GB2312" w:eastAsia="仿宋_GB2312" w:hAnsi="宋体" w:hint="eastAsia"/>
          <w:sz w:val="30"/>
          <w:szCs w:val="30"/>
          <w:lang w:val="fr-FR"/>
        </w:rPr>
        <w:t>卡片架构。本方案定义的卡片采用单一芯片，通过硬件驱动层支持卡片操作系统（COS）。卡片COS同时支持社保应用和金融应用，两种应用分别具有独立的命令管理模块、文件管理模块和安全管理模块，通过防火墙机制相互独立，互不影响。卡片架构图见附图1。</w:t>
      </w:r>
    </w:p>
    <w:p w:rsidR="00CE792F" w:rsidRDefault="00CE792F">
      <w:pPr>
        <w:widowControl/>
        <w:wordWrap w:val="0"/>
        <w:adjustRightInd w:val="0"/>
        <w:snapToGrid w:val="0"/>
        <w:ind w:firstLineChars="200" w:firstLine="600"/>
        <w:jc w:val="left"/>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（二）</w:t>
      </w:r>
      <w:bookmarkStart w:id="2" w:name="_Toc275431643"/>
      <w:r>
        <w:rPr>
          <w:rFonts w:ascii="楷体_GB2312" w:eastAsia="楷体_GB2312" w:hAnsi="Arial" w:cs="Arial" w:hint="eastAsia"/>
          <w:color w:val="000000"/>
          <w:kern w:val="0"/>
          <w:sz w:val="30"/>
          <w:szCs w:val="30"/>
        </w:rPr>
        <w:t>读写终端技术实现</w:t>
      </w:r>
      <w:bookmarkEnd w:id="2"/>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读写终端可采用</w:t>
      </w:r>
      <w:r>
        <w:rPr>
          <w:rFonts w:ascii="仿宋_GB2312" w:eastAsia="仿宋_GB2312" w:hAnsi="宋体"/>
          <w:sz w:val="30"/>
          <w:szCs w:val="30"/>
          <w:lang w:val="fr-FR"/>
        </w:rPr>
        <w:t>POS</w:t>
      </w:r>
      <w:r>
        <w:rPr>
          <w:rFonts w:ascii="仿宋_GB2312" w:eastAsia="仿宋_GB2312" w:hAnsi="宋体" w:hint="eastAsia"/>
          <w:sz w:val="30"/>
          <w:szCs w:val="30"/>
          <w:lang w:val="fr-FR"/>
        </w:rPr>
        <w:t>、</w:t>
      </w:r>
      <w:r>
        <w:rPr>
          <w:rFonts w:ascii="仿宋_GB2312" w:eastAsia="仿宋_GB2312" w:hAnsi="宋体"/>
          <w:sz w:val="30"/>
          <w:szCs w:val="30"/>
          <w:lang w:val="fr-FR"/>
        </w:rPr>
        <w:t>PC+Reader</w:t>
      </w:r>
      <w:r>
        <w:rPr>
          <w:rFonts w:ascii="仿宋_GB2312" w:eastAsia="仿宋_GB2312" w:hAnsi="宋体" w:hint="eastAsia"/>
          <w:sz w:val="30"/>
          <w:szCs w:val="30"/>
          <w:lang w:val="fr-FR"/>
        </w:rPr>
        <w:t>、ATM等</w:t>
      </w:r>
      <w:r>
        <w:rPr>
          <w:rFonts w:ascii="仿宋_GB2312" w:eastAsia="仿宋_GB2312" w:hAnsi="宋体"/>
          <w:sz w:val="30"/>
          <w:szCs w:val="30"/>
          <w:lang w:val="fr-FR"/>
        </w:rPr>
        <w:t>方式</w:t>
      </w:r>
      <w:r>
        <w:rPr>
          <w:rFonts w:ascii="仿宋_GB2312" w:eastAsia="仿宋_GB2312" w:hAnsi="宋体" w:hint="eastAsia"/>
          <w:sz w:val="30"/>
          <w:szCs w:val="30"/>
          <w:lang w:val="fr-FR"/>
        </w:rPr>
        <w:t>，从功能上</w:t>
      </w:r>
      <w:r>
        <w:rPr>
          <w:rFonts w:ascii="仿宋_GB2312" w:eastAsia="仿宋_GB2312" w:hAnsi="宋体"/>
          <w:sz w:val="30"/>
          <w:szCs w:val="30"/>
          <w:lang w:val="fr-FR"/>
        </w:rPr>
        <w:t>分为社保业务功能</w:t>
      </w:r>
      <w:r>
        <w:rPr>
          <w:rFonts w:ascii="仿宋_GB2312" w:eastAsia="仿宋_GB2312" w:hAnsi="宋体" w:hint="eastAsia"/>
          <w:sz w:val="30"/>
          <w:szCs w:val="30"/>
          <w:lang w:val="fr-FR"/>
        </w:rPr>
        <w:t>终端、</w:t>
      </w:r>
      <w:r>
        <w:rPr>
          <w:rFonts w:ascii="仿宋_GB2312" w:eastAsia="仿宋_GB2312" w:hAnsi="宋体"/>
          <w:sz w:val="30"/>
          <w:szCs w:val="30"/>
          <w:lang w:val="fr-FR"/>
        </w:rPr>
        <w:t>金融业务功能</w:t>
      </w:r>
      <w:r>
        <w:rPr>
          <w:rFonts w:ascii="仿宋_GB2312" w:eastAsia="仿宋_GB2312" w:hAnsi="宋体" w:hint="eastAsia"/>
          <w:sz w:val="30"/>
          <w:szCs w:val="30"/>
          <w:lang w:val="fr-FR"/>
        </w:rPr>
        <w:t>终端</w:t>
      </w:r>
      <w:r>
        <w:rPr>
          <w:rFonts w:ascii="仿宋_GB2312" w:eastAsia="仿宋_GB2312" w:hAnsi="宋体"/>
          <w:sz w:val="30"/>
          <w:szCs w:val="30"/>
          <w:lang w:val="fr-FR"/>
        </w:rPr>
        <w:t>和全业务功能</w:t>
      </w:r>
      <w:r>
        <w:rPr>
          <w:rFonts w:ascii="仿宋_GB2312" w:eastAsia="仿宋_GB2312" w:hAnsi="宋体" w:hint="eastAsia"/>
          <w:sz w:val="30"/>
          <w:szCs w:val="30"/>
          <w:lang w:val="fr-FR"/>
        </w:rPr>
        <w:t>终端</w:t>
      </w:r>
      <w:r>
        <w:rPr>
          <w:rFonts w:ascii="仿宋_GB2312" w:eastAsia="仿宋_GB2312" w:hAnsi="宋体"/>
          <w:sz w:val="30"/>
          <w:szCs w:val="30"/>
          <w:lang w:val="fr-FR"/>
        </w:rPr>
        <w:t>三种模式</w:t>
      </w:r>
      <w:r>
        <w:rPr>
          <w:rFonts w:ascii="仿宋_GB2312" w:eastAsia="仿宋_GB2312" w:hAnsi="宋体" w:hint="eastAsia"/>
          <w:sz w:val="30"/>
          <w:szCs w:val="30"/>
          <w:lang w:val="fr-FR"/>
        </w:rPr>
        <w:t>。</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1.</w:t>
      </w:r>
      <w:r>
        <w:rPr>
          <w:rFonts w:ascii="仿宋_GB2312" w:eastAsia="仿宋_GB2312" w:hAnsi="宋体"/>
          <w:sz w:val="30"/>
          <w:szCs w:val="30"/>
          <w:lang w:val="fr-FR"/>
        </w:rPr>
        <w:t>社保业务功能</w:t>
      </w:r>
      <w:r>
        <w:rPr>
          <w:rFonts w:ascii="仿宋_GB2312" w:eastAsia="仿宋_GB2312" w:hAnsi="宋体" w:hint="eastAsia"/>
          <w:sz w:val="30"/>
          <w:szCs w:val="30"/>
          <w:lang w:val="fr-FR"/>
        </w:rPr>
        <w:t>终端。与现行社会保障卡受理终端采用相同的技术要求，即配有显示器、</w:t>
      </w:r>
      <w:r>
        <w:rPr>
          <w:rFonts w:ascii="仿宋_GB2312" w:eastAsia="仿宋_GB2312" w:hAnsi="宋体"/>
          <w:sz w:val="30"/>
          <w:szCs w:val="30"/>
          <w:lang w:val="fr-FR"/>
        </w:rPr>
        <w:t>IC卡接口设备、键盘、密码键盘、</w:t>
      </w:r>
      <w:r>
        <w:rPr>
          <w:rFonts w:ascii="仿宋_GB2312" w:eastAsia="仿宋_GB2312" w:hAnsi="宋体" w:hint="eastAsia"/>
          <w:sz w:val="30"/>
          <w:szCs w:val="30"/>
          <w:lang w:val="fr-FR"/>
        </w:rPr>
        <w:t>安全存取模块</w:t>
      </w:r>
      <w:r>
        <w:rPr>
          <w:rFonts w:ascii="仿宋_GB2312" w:eastAsia="仿宋_GB2312" w:hAnsi="宋体"/>
          <w:sz w:val="30"/>
          <w:szCs w:val="30"/>
          <w:lang w:val="fr-FR"/>
        </w:rPr>
        <w:t>、</w:t>
      </w:r>
      <w:r>
        <w:rPr>
          <w:rFonts w:ascii="仿宋_GB2312" w:eastAsia="仿宋_GB2312" w:hAnsi="宋体" w:hint="eastAsia"/>
          <w:sz w:val="30"/>
          <w:szCs w:val="30"/>
          <w:lang w:val="fr-FR"/>
        </w:rPr>
        <w:t>存储设备等硬件设备，具备读取社保应用环境、应用初始化、有效性检查、联机处理等功能。可受理未加载金融功能的社会保障卡，以及具有金融功能的社会保障卡中的社保应用。</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2.</w:t>
      </w:r>
      <w:r>
        <w:rPr>
          <w:rFonts w:ascii="仿宋_GB2312" w:eastAsia="仿宋_GB2312" w:hAnsi="宋体"/>
          <w:sz w:val="30"/>
          <w:szCs w:val="30"/>
          <w:lang w:val="fr-FR"/>
        </w:rPr>
        <w:t>金融业务功能</w:t>
      </w:r>
      <w:r>
        <w:rPr>
          <w:rFonts w:ascii="仿宋_GB2312" w:eastAsia="仿宋_GB2312" w:hAnsi="宋体" w:hint="eastAsia"/>
          <w:sz w:val="30"/>
          <w:szCs w:val="30"/>
          <w:lang w:val="fr-FR"/>
        </w:rPr>
        <w:t>终端。符合《银行卡销售点（POS）终端规范》（</w:t>
      </w:r>
      <w:r>
        <w:rPr>
          <w:rFonts w:ascii="仿宋_GB2312" w:eastAsia="仿宋_GB2312" w:hAnsi="宋体" w:hint="eastAsia"/>
          <w:bCs/>
          <w:color w:val="000000"/>
          <w:sz w:val="30"/>
        </w:rPr>
        <w:t>JR/T 0001—2009</w:t>
      </w:r>
      <w:r>
        <w:rPr>
          <w:rFonts w:ascii="仿宋_GB2312" w:eastAsia="仿宋_GB2312" w:hAnsi="宋体" w:hint="eastAsia"/>
          <w:sz w:val="30"/>
          <w:szCs w:val="30"/>
          <w:lang w:val="fr-FR"/>
        </w:rPr>
        <w:t>）、《银行卡自动柜员机（ATM）终端规范》（</w:t>
      </w:r>
      <w:r>
        <w:rPr>
          <w:rFonts w:ascii="仿宋_GB2312" w:eastAsia="仿宋_GB2312" w:hAnsi="宋体" w:hint="eastAsia"/>
          <w:bCs/>
          <w:color w:val="000000"/>
          <w:sz w:val="30"/>
        </w:rPr>
        <w:t>JR/T 0002—2009</w:t>
      </w:r>
      <w:r>
        <w:rPr>
          <w:rFonts w:ascii="仿宋_GB2312" w:eastAsia="仿宋_GB2312" w:hAnsi="宋体" w:hint="eastAsia"/>
          <w:sz w:val="30"/>
          <w:szCs w:val="30"/>
          <w:lang w:val="fr-FR"/>
        </w:rPr>
        <w:t>）等技术标准，与现行符合</w:t>
      </w:r>
      <w:r>
        <w:rPr>
          <w:rFonts w:ascii="仿宋_GB2312" w:eastAsia="仿宋_GB2312" w:hAnsi="宋体"/>
          <w:bCs/>
          <w:color w:val="000000"/>
          <w:sz w:val="30"/>
        </w:rPr>
        <w:t>《中国金融集成</w:t>
      </w:r>
      <w:r>
        <w:rPr>
          <w:rFonts w:ascii="仿宋_GB2312" w:eastAsia="仿宋_GB2312" w:hAnsi="宋体"/>
          <w:bCs/>
          <w:color w:val="000000"/>
          <w:sz w:val="30"/>
        </w:rPr>
        <w:lastRenderedPageBreak/>
        <w:t>电路（IC）卡规范》</w:t>
      </w:r>
      <w:r>
        <w:rPr>
          <w:rFonts w:ascii="仿宋_GB2312" w:eastAsia="仿宋_GB2312" w:hAnsi="宋体" w:hint="eastAsia"/>
          <w:bCs/>
          <w:color w:val="000000"/>
          <w:sz w:val="30"/>
        </w:rPr>
        <w:t>（JR/T 0025—2010）</w:t>
      </w:r>
      <w:r>
        <w:rPr>
          <w:rFonts w:ascii="仿宋_GB2312" w:eastAsia="仿宋_GB2312" w:hAnsi="宋体" w:hint="eastAsia"/>
          <w:sz w:val="30"/>
          <w:szCs w:val="30"/>
          <w:lang w:val="fr-FR"/>
        </w:rPr>
        <w:t>的</w:t>
      </w:r>
      <w:r>
        <w:rPr>
          <w:rFonts w:ascii="仿宋_GB2312" w:eastAsia="仿宋_GB2312" w:hAnsi="宋体"/>
          <w:sz w:val="30"/>
          <w:szCs w:val="30"/>
          <w:lang w:val="fr-FR"/>
        </w:rPr>
        <w:t>金融IC</w:t>
      </w:r>
      <w:r>
        <w:rPr>
          <w:rFonts w:ascii="仿宋_GB2312" w:eastAsia="仿宋_GB2312" w:hAnsi="宋体" w:hint="eastAsia"/>
          <w:sz w:val="30"/>
          <w:szCs w:val="30"/>
          <w:lang w:val="fr-FR"/>
        </w:rPr>
        <w:t>卡受理终端采用相同的技术要求。可受理</w:t>
      </w:r>
      <w:r>
        <w:rPr>
          <w:rFonts w:ascii="仿宋_GB2312" w:eastAsia="仿宋_GB2312" w:hAnsi="宋体"/>
          <w:sz w:val="30"/>
          <w:szCs w:val="30"/>
          <w:lang w:val="fr-FR"/>
        </w:rPr>
        <w:t>金融IC</w:t>
      </w:r>
      <w:r>
        <w:rPr>
          <w:rFonts w:ascii="仿宋_GB2312" w:eastAsia="仿宋_GB2312" w:hAnsi="宋体" w:hint="eastAsia"/>
          <w:sz w:val="30"/>
          <w:szCs w:val="30"/>
          <w:lang w:val="fr-FR"/>
        </w:rPr>
        <w:t>卡，以及具有金融功能的社会保障卡中的金融应用。</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3.</w:t>
      </w:r>
      <w:r>
        <w:rPr>
          <w:rFonts w:ascii="仿宋_GB2312" w:eastAsia="仿宋_GB2312" w:hAnsi="宋体"/>
          <w:sz w:val="30"/>
          <w:szCs w:val="30"/>
          <w:lang w:val="fr-FR"/>
        </w:rPr>
        <w:t>全业务功能</w:t>
      </w:r>
      <w:r>
        <w:rPr>
          <w:rFonts w:ascii="仿宋_GB2312" w:eastAsia="仿宋_GB2312" w:hAnsi="宋体" w:hint="eastAsia"/>
          <w:sz w:val="30"/>
          <w:szCs w:val="30"/>
          <w:lang w:val="fr-FR"/>
        </w:rPr>
        <w:t>终端。同时符合以上两种技术要求和功能要求。</w:t>
      </w:r>
    </w:p>
    <w:p w:rsidR="00CE792F" w:rsidRDefault="00CE792F">
      <w:pPr>
        <w:widowControl/>
        <w:wordWrap w:val="0"/>
        <w:adjustRightInd w:val="0"/>
        <w:snapToGrid w:val="0"/>
        <w:ind w:firstLineChars="200" w:firstLine="600"/>
        <w:jc w:val="left"/>
        <w:rPr>
          <w:rFonts w:ascii="仿宋_GB2312" w:eastAsia="仿宋_GB2312" w:hAnsi="宋体"/>
          <w:sz w:val="30"/>
          <w:szCs w:val="30"/>
          <w:lang w:val="fr-FR"/>
        </w:rPr>
      </w:pPr>
      <w:bookmarkStart w:id="3" w:name="_Toc275431644"/>
      <w:r>
        <w:rPr>
          <w:rFonts w:ascii="楷体_GB2312" w:eastAsia="楷体_GB2312" w:hAnsi="Arial" w:cs="Arial" w:hint="eastAsia"/>
          <w:color w:val="000000"/>
          <w:kern w:val="0"/>
          <w:sz w:val="30"/>
          <w:szCs w:val="30"/>
        </w:rPr>
        <w:t>（三）应用系统技术实现</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人社部门应按照人力资源社会保障部相关要求，建立社会保障卡管理系统，形成个人基础信息库，实现对社会保障卡的制卡、密钥、应用、黑名单等的规范管理，并与相关业务系统相衔接，保证社会保障卡在人力资源</w:t>
      </w:r>
      <w:r w:rsidR="006F662F">
        <w:rPr>
          <w:rFonts w:ascii="仿宋_GB2312" w:eastAsia="仿宋_GB2312" w:hAnsi="宋体" w:hint="eastAsia"/>
          <w:sz w:val="30"/>
          <w:szCs w:val="30"/>
          <w:lang w:val="fr-FR"/>
        </w:rPr>
        <w:t>和</w:t>
      </w:r>
      <w:r>
        <w:rPr>
          <w:rFonts w:ascii="仿宋_GB2312" w:eastAsia="仿宋_GB2312" w:hAnsi="宋体" w:hint="eastAsia"/>
          <w:sz w:val="30"/>
          <w:szCs w:val="30"/>
          <w:lang w:val="fr-FR"/>
        </w:rPr>
        <w:t>社会保障各业务领域的有效应用。</w:t>
      </w:r>
    </w:p>
    <w:p w:rsidR="00CE792F" w:rsidRDefault="00CE792F">
      <w:pPr>
        <w:adjustRightInd w:val="0"/>
        <w:snapToGrid w:val="0"/>
        <w:ind w:firstLineChars="200" w:firstLine="600"/>
        <w:rPr>
          <w:rFonts w:ascii="仿宋_GB2312" w:eastAsia="仿宋_GB2312" w:hAnsi="宋体"/>
          <w:color w:val="000080"/>
          <w:sz w:val="30"/>
          <w:szCs w:val="30"/>
          <w:lang w:val="fr-FR"/>
        </w:rPr>
      </w:pPr>
      <w:r>
        <w:rPr>
          <w:rFonts w:ascii="仿宋_GB2312" w:eastAsia="仿宋_GB2312" w:hAnsi="宋体" w:hint="eastAsia"/>
          <w:sz w:val="30"/>
          <w:szCs w:val="30"/>
          <w:lang w:val="fr-FR"/>
        </w:rPr>
        <w:t>商业银行应建立基于借记卡的IC卡发卡、密钥管理、授权和清算等系统，或对相关系统做出适当改造，确保社会保障卡金融功能的有效应用。中国银联应做好金融IC卡相关系统和受理环境改造，确保社会保障卡金融功能跨行转接与清算顺利进行。</w:t>
      </w:r>
    </w:p>
    <w:p w:rsidR="00CE792F" w:rsidRDefault="00CE792F">
      <w:pPr>
        <w:widowControl/>
        <w:wordWrap w:val="0"/>
        <w:adjustRightInd w:val="0"/>
        <w:snapToGrid w:val="0"/>
        <w:ind w:firstLineChars="200" w:firstLine="600"/>
        <w:jc w:val="left"/>
        <w:rPr>
          <w:rFonts w:ascii="楷体_GB2312" w:eastAsia="楷体_GB2312" w:cs="Arial"/>
          <w:color w:val="000000"/>
          <w:kern w:val="0"/>
          <w:sz w:val="30"/>
          <w:szCs w:val="30"/>
        </w:rPr>
      </w:pPr>
      <w:r>
        <w:rPr>
          <w:rFonts w:ascii="楷体_GB2312" w:eastAsia="楷体_GB2312" w:hAnsi="Arial" w:cs="Arial" w:hint="eastAsia"/>
          <w:color w:val="000000"/>
          <w:kern w:val="0"/>
          <w:sz w:val="30"/>
          <w:szCs w:val="30"/>
        </w:rPr>
        <w:t>（四）安全体系技术实现</w:t>
      </w:r>
      <w:bookmarkEnd w:id="3"/>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具有金融功能的社会保障卡设置卡片主控密钥。卡片主控密钥用于创建SSSE和PSE，并装载上述两个系统环境的环境主控密钥。在完成上述系统环境创建和主控密钥装载后，卡片主控密钥对各应用环境不再拥有控制权，而转由各自的环境主控密钥控制。其中，社保环境主控密钥用于创建SSSE目录下的文件，装载社保应用密钥。金融环境主控密钥用于创建PSE目录下的文件，装载金融应用密钥。环境主控密钥不受卡片主控密钥控制，可以自主更新。</w:t>
      </w:r>
    </w:p>
    <w:p w:rsidR="00CE792F" w:rsidRDefault="00CE792F">
      <w:pPr>
        <w:adjustRightInd w:val="0"/>
        <w:snapToGrid w:val="0"/>
        <w:ind w:firstLineChars="200" w:firstLine="600"/>
        <w:rPr>
          <w:rFonts w:ascii="仿宋_GB2312" w:eastAsia="仿宋_GB2312" w:hAnsi="宋体"/>
          <w:sz w:val="30"/>
          <w:szCs w:val="30"/>
          <w:lang w:val="fr-FR"/>
        </w:rPr>
      </w:pPr>
      <w:r>
        <w:rPr>
          <w:rFonts w:ascii="仿宋_GB2312" w:eastAsia="仿宋_GB2312" w:hAnsi="宋体" w:hint="eastAsia"/>
          <w:sz w:val="30"/>
          <w:szCs w:val="30"/>
          <w:lang w:val="fr-FR"/>
        </w:rPr>
        <w:t>具有金融功能的社会保障卡中，社保应用与金融应用在各自的应用环境中，分别遵循《社会保障（个人）卡规范》和</w:t>
      </w:r>
      <w:r>
        <w:rPr>
          <w:rFonts w:ascii="仿宋_GB2312" w:eastAsia="仿宋_GB2312" w:hAnsi="宋体"/>
          <w:bCs/>
          <w:color w:val="000000"/>
          <w:sz w:val="30"/>
        </w:rPr>
        <w:t>《中国</w:t>
      </w:r>
      <w:r>
        <w:rPr>
          <w:rFonts w:ascii="仿宋_GB2312" w:eastAsia="仿宋_GB2312" w:hAnsi="宋体"/>
          <w:bCs/>
          <w:color w:val="000000"/>
          <w:sz w:val="30"/>
        </w:rPr>
        <w:lastRenderedPageBreak/>
        <w:t>金融集成电路（IC）卡规范》</w:t>
      </w:r>
      <w:r>
        <w:rPr>
          <w:rFonts w:ascii="仿宋_GB2312" w:eastAsia="仿宋_GB2312" w:hAnsi="宋体" w:hint="eastAsia"/>
          <w:bCs/>
          <w:color w:val="000000"/>
          <w:sz w:val="30"/>
        </w:rPr>
        <w:t>（JR/T 0025—2010）</w:t>
      </w:r>
      <w:r>
        <w:rPr>
          <w:rFonts w:ascii="仿宋_GB2312" w:eastAsia="仿宋_GB2312" w:hAnsi="宋体" w:hint="eastAsia"/>
          <w:sz w:val="30"/>
          <w:szCs w:val="30"/>
          <w:lang w:val="fr-FR"/>
        </w:rPr>
        <w:t>定义的安全机制。</w:t>
      </w:r>
    </w:p>
    <w:p w:rsidR="00CE792F" w:rsidRDefault="00CE792F">
      <w:pPr>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宋体" w:hint="eastAsia"/>
          <w:sz w:val="30"/>
          <w:szCs w:val="30"/>
          <w:lang w:val="fr-FR"/>
        </w:rPr>
        <w:t>同时支持社保应用和金融应用的</w:t>
      </w:r>
      <w:r>
        <w:rPr>
          <w:rFonts w:ascii="仿宋_GB2312" w:eastAsia="仿宋_GB2312" w:hAnsi="宋体"/>
          <w:sz w:val="30"/>
          <w:szCs w:val="30"/>
          <w:lang w:val="fr-FR"/>
        </w:rPr>
        <w:t>全业务功能</w:t>
      </w:r>
      <w:r>
        <w:rPr>
          <w:rFonts w:ascii="仿宋_GB2312" w:eastAsia="仿宋_GB2312" w:hAnsi="宋体" w:hint="eastAsia"/>
          <w:sz w:val="30"/>
          <w:szCs w:val="30"/>
          <w:lang w:val="fr-FR"/>
        </w:rPr>
        <w:t>终端中，用以存储密钥等敏感信息的安全存取模块（PSAM卡）只应用于社保应用，需满足《社会保障（个人）卡规范》要求。</w:t>
      </w:r>
    </w:p>
    <w:p w:rsidR="00CE792F" w:rsidRDefault="00CE792F">
      <w:pPr>
        <w:widowControl/>
        <w:wordWrap w:val="0"/>
        <w:adjustRightInd w:val="0"/>
        <w:snapToGrid w:val="0"/>
        <w:ind w:firstLineChars="200" w:firstLine="600"/>
        <w:jc w:val="left"/>
        <w:rPr>
          <w:rFonts w:ascii="黑体" w:eastAsia="黑体" w:hAnsi="Arial" w:cs="Arial"/>
          <w:color w:val="000000"/>
          <w:kern w:val="0"/>
          <w:sz w:val="30"/>
          <w:szCs w:val="30"/>
        </w:rPr>
      </w:pPr>
      <w:r>
        <w:rPr>
          <w:rFonts w:ascii="黑体" w:eastAsia="黑体" w:hAnsi="Arial" w:cs="Arial" w:hint="eastAsia"/>
          <w:color w:val="000000"/>
          <w:kern w:val="0"/>
          <w:sz w:val="30"/>
          <w:szCs w:val="30"/>
        </w:rPr>
        <w:t>二、应用领域</w:t>
      </w:r>
    </w:p>
    <w:p w:rsidR="00CE792F" w:rsidRDefault="00CE792F">
      <w:pPr>
        <w:pStyle w:val="a9"/>
      </w:pPr>
      <w:r>
        <w:rPr>
          <w:rFonts w:hint="eastAsia"/>
        </w:rPr>
        <w:t>具有金融功能的社会保障卡不仅可以支持身份凭证、信息查询、医疗费用结算等不需要金融功能支持的社保应用（以下简称与金融功能无关的社保应用），也可以支持社会保险费缴纳、待遇领取等需要金融功能支持的社保应用（以下简称基于金融功能的社保应用），同时也支持金融应用（人民币借记应用）。</w:t>
      </w:r>
    </w:p>
    <w:p w:rsidR="00CE792F" w:rsidRDefault="00CE792F">
      <w:pPr>
        <w:widowControl/>
        <w:wordWrap w:val="0"/>
        <w:adjustRightInd w:val="0"/>
        <w:snapToGrid w:val="0"/>
        <w:ind w:firstLineChars="200" w:firstLine="600"/>
        <w:jc w:val="left"/>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（一）与金融功能无关的社保应用</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与金融功能无关的社保应用主要包括三个方面：</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color w:val="000000"/>
          <w:kern w:val="0"/>
          <w:sz w:val="30"/>
          <w:szCs w:val="30"/>
        </w:rPr>
        <w:t>1.</w:t>
      </w:r>
      <w:r>
        <w:rPr>
          <w:rFonts w:ascii="仿宋_GB2312" w:eastAsia="仿宋_GB2312" w:hAnsi="Arial" w:cs="Arial" w:hint="eastAsia"/>
          <w:color w:val="000000"/>
          <w:kern w:val="0"/>
          <w:sz w:val="30"/>
          <w:szCs w:val="30"/>
        </w:rPr>
        <w:t>身份凭证。作为享受公共就业服务、就业扶持政策，和参保登记、缴费申报、社会保险关系转移接续、医疗费用报销、待遇领取资格认证等业务办理的身份凭证。</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2.信息查询。以社会保障卡为入口，持卡人可以登录网站</w:t>
      </w:r>
      <w:r w:rsidR="00722CF3">
        <w:rPr>
          <w:rFonts w:ascii="仿宋_GB2312" w:eastAsia="仿宋_GB2312" w:hAnsi="Arial" w:cs="Arial" w:hint="eastAsia"/>
          <w:color w:val="000000"/>
          <w:kern w:val="0"/>
          <w:sz w:val="30"/>
          <w:szCs w:val="30"/>
        </w:rPr>
        <w:t>及</w:t>
      </w:r>
      <w:r>
        <w:rPr>
          <w:rFonts w:ascii="仿宋_GB2312" w:eastAsia="仿宋_GB2312" w:hAnsi="Arial" w:cs="Arial" w:hint="eastAsia"/>
          <w:color w:val="000000"/>
          <w:kern w:val="0"/>
          <w:sz w:val="30"/>
          <w:szCs w:val="30"/>
        </w:rPr>
        <w:t>在触摸屏上查询相关信息，还可以在网上办理有关人力资源社会保障事务。</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3.医疗费用结算。凭卡实现在本统筹地区及跨统筹地区医疗费用即时结算。</w:t>
      </w:r>
    </w:p>
    <w:p w:rsidR="00CE792F" w:rsidRDefault="00CE792F">
      <w:pPr>
        <w:widowControl/>
        <w:wordWrap w:val="0"/>
        <w:adjustRightInd w:val="0"/>
        <w:snapToGrid w:val="0"/>
        <w:ind w:firstLineChars="200" w:firstLine="600"/>
        <w:jc w:val="left"/>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（二）基于金融功能的社保应用</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社会保障卡加载金融功能后，各地人社部门要积极推动其在社会保险费缴纳、待遇领取等业务环节的应用，逐步将涉及个人</w:t>
      </w:r>
      <w:r>
        <w:rPr>
          <w:rFonts w:ascii="仿宋_GB2312" w:eastAsia="仿宋_GB2312" w:hAnsi="Arial" w:cs="Arial" w:hint="eastAsia"/>
          <w:color w:val="000000"/>
          <w:kern w:val="0"/>
          <w:sz w:val="30"/>
          <w:szCs w:val="30"/>
        </w:rPr>
        <w:lastRenderedPageBreak/>
        <w:t>缴费、</w:t>
      </w:r>
      <w:r>
        <w:rPr>
          <w:rFonts w:ascii="仿宋_GB2312" w:eastAsia="仿宋_GB2312" w:hAnsi="Arial" w:cs="Arial" w:hint="eastAsia"/>
          <w:kern w:val="0"/>
          <w:sz w:val="30"/>
          <w:szCs w:val="30"/>
        </w:rPr>
        <w:t>支付</w:t>
      </w:r>
      <w:r>
        <w:rPr>
          <w:rFonts w:ascii="仿宋_GB2312" w:eastAsia="仿宋_GB2312" w:hAnsi="Arial" w:cs="Arial" w:hint="eastAsia"/>
          <w:color w:val="000000"/>
          <w:kern w:val="0"/>
          <w:sz w:val="30"/>
          <w:szCs w:val="30"/>
        </w:rPr>
        <w:t>的各项业务，集成到社会保障卡加载的银行账户之中办理，实现集约化管理和服务。具体包括：</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1.社会保险费缴纳。包括灵活就业人员、城镇参保居民、农村参保人员社会保险费的缴纳和银行代扣等。</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2.待遇领取。包括养老金、失业保险金、工伤保险定期待遇、各项社会保险一次性待遇，医疗费用等的报销返还，以及面向个人的各类就业扶持政策补贴等的领取。</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3.医疗费用即时结算后的费用支付（包括个人自付部分结算时个人账户不足额时的费用结算、个人自费部分结算）。</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各地可在上述应用基础上，借助社会保障卡加载的金融功能，探索开展其他便民服务。</w:t>
      </w:r>
    </w:p>
    <w:p w:rsidR="00CE792F" w:rsidRDefault="00CE792F">
      <w:pPr>
        <w:widowControl/>
        <w:wordWrap w:val="0"/>
        <w:adjustRightInd w:val="0"/>
        <w:snapToGrid w:val="0"/>
        <w:ind w:firstLineChars="200" w:firstLine="600"/>
        <w:jc w:val="left"/>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（三）金融应用</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具有金融功能的社会保障卡作为具有特殊性质的银行卡</w:t>
      </w:r>
      <w:r>
        <w:rPr>
          <w:rFonts w:ascii="仿宋_GB2312" w:eastAsia="仿宋_GB2312" w:hAnsi="Arial" w:cs="Arial"/>
          <w:color w:val="000000"/>
          <w:kern w:val="0"/>
          <w:sz w:val="30"/>
          <w:szCs w:val="30"/>
        </w:rPr>
        <w:t>，其</w:t>
      </w:r>
      <w:r>
        <w:rPr>
          <w:rFonts w:ascii="仿宋_GB2312" w:eastAsia="仿宋_GB2312" w:hAnsi="Arial" w:cs="Arial" w:hint="eastAsia"/>
          <w:color w:val="000000"/>
          <w:kern w:val="0"/>
          <w:sz w:val="30"/>
          <w:szCs w:val="30"/>
        </w:rPr>
        <w:t>金融功能做如下限制和定制：</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w:t>
      </w:r>
      <w:r w:rsidR="00722CF3">
        <w:rPr>
          <w:rFonts w:ascii="仿宋_GB2312" w:eastAsia="仿宋_GB2312" w:hAnsi="Arial" w:cs="Arial" w:hint="eastAsia"/>
          <w:color w:val="000000"/>
          <w:kern w:val="0"/>
          <w:sz w:val="30"/>
          <w:szCs w:val="30"/>
        </w:rPr>
        <w:t>.</w:t>
      </w:r>
      <w:r>
        <w:rPr>
          <w:rFonts w:ascii="仿宋_GB2312" w:eastAsia="仿宋_GB2312" w:hAnsi="Arial" w:cs="Arial" w:hint="eastAsia"/>
          <w:color w:val="000000"/>
          <w:kern w:val="0"/>
          <w:sz w:val="30"/>
          <w:szCs w:val="30"/>
        </w:rPr>
        <w:t>只限境内使用。具有金融功能的社会保障卡具有政府服务功能，使用范围暂时限定在中华人民共和国境内。</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color w:val="000000"/>
          <w:kern w:val="0"/>
          <w:sz w:val="30"/>
          <w:szCs w:val="30"/>
        </w:rPr>
        <w:t>2</w:t>
      </w:r>
      <w:r w:rsidR="00722CF3">
        <w:rPr>
          <w:rFonts w:ascii="仿宋_GB2312" w:eastAsia="仿宋_GB2312" w:hAnsi="Arial" w:cs="Arial" w:hint="eastAsia"/>
          <w:color w:val="000000"/>
          <w:kern w:val="0"/>
          <w:sz w:val="30"/>
          <w:szCs w:val="30"/>
        </w:rPr>
        <w:t>.</w:t>
      </w:r>
      <w:r>
        <w:rPr>
          <w:rFonts w:ascii="仿宋_GB2312" w:eastAsia="仿宋_GB2312" w:hAnsi="Arial" w:cs="Arial"/>
          <w:color w:val="000000"/>
          <w:kern w:val="0"/>
          <w:sz w:val="30"/>
          <w:szCs w:val="30"/>
        </w:rPr>
        <w:t>暂支持借记</w:t>
      </w:r>
      <w:r>
        <w:rPr>
          <w:rFonts w:ascii="仿宋_GB2312" w:eastAsia="仿宋_GB2312" w:hAnsi="Arial" w:cs="Arial" w:hint="eastAsia"/>
          <w:color w:val="000000"/>
          <w:kern w:val="0"/>
          <w:sz w:val="30"/>
          <w:szCs w:val="30"/>
        </w:rPr>
        <w:t>应用。社会保障卡加载的金融功能暂限定为人民币借记应用。</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3</w:t>
      </w:r>
      <w:r w:rsidR="00722CF3">
        <w:rPr>
          <w:rFonts w:ascii="仿宋_GB2312" w:eastAsia="仿宋_GB2312" w:hAnsi="Arial" w:cs="Arial" w:hint="eastAsia"/>
          <w:color w:val="000000"/>
          <w:kern w:val="0"/>
          <w:sz w:val="30"/>
          <w:szCs w:val="30"/>
        </w:rPr>
        <w:t>.</w:t>
      </w:r>
      <w:r>
        <w:rPr>
          <w:rFonts w:ascii="仿宋_GB2312" w:eastAsia="仿宋_GB2312" w:hAnsi="Arial" w:cs="Arial" w:hint="eastAsia"/>
          <w:color w:val="000000"/>
          <w:kern w:val="0"/>
          <w:sz w:val="30"/>
          <w:szCs w:val="30"/>
        </w:rPr>
        <w:t>支</w:t>
      </w:r>
      <w:r>
        <w:rPr>
          <w:rFonts w:ascii="仿宋_GB2312" w:eastAsia="仿宋_GB2312" w:hAnsi="Arial" w:cs="Arial"/>
          <w:color w:val="000000"/>
          <w:kern w:val="0"/>
          <w:sz w:val="30"/>
          <w:szCs w:val="30"/>
        </w:rPr>
        <w:t>持专有的金融增值服务</w:t>
      </w:r>
      <w:r>
        <w:rPr>
          <w:rFonts w:ascii="仿宋_GB2312" w:eastAsia="仿宋_GB2312" w:hAnsi="Arial" w:cs="Arial" w:hint="eastAsia"/>
          <w:color w:val="000000"/>
          <w:kern w:val="0"/>
          <w:sz w:val="30"/>
          <w:szCs w:val="30"/>
        </w:rPr>
        <w:t>。合作银行可与商户协商推出基于具有金融功能的社会保障卡的增值服务功能，如持卡人在药店、医疗机构等和社保应用有关的商户消费时，持卡可享受特别优惠，或者具备商户积分功能。</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4</w:t>
      </w:r>
      <w:r w:rsidR="00722CF3">
        <w:rPr>
          <w:rFonts w:ascii="仿宋_GB2312" w:eastAsia="仿宋_GB2312" w:hAnsi="Arial" w:cs="Arial" w:hint="eastAsia"/>
          <w:color w:val="000000"/>
          <w:kern w:val="0"/>
          <w:sz w:val="30"/>
          <w:szCs w:val="30"/>
        </w:rPr>
        <w:t>.</w:t>
      </w:r>
      <w:r>
        <w:rPr>
          <w:rFonts w:ascii="仿宋_GB2312" w:eastAsia="仿宋_GB2312" w:hAnsi="Arial" w:cs="Arial"/>
          <w:color w:val="000000"/>
          <w:kern w:val="0"/>
          <w:sz w:val="30"/>
          <w:szCs w:val="30"/>
        </w:rPr>
        <w:t>优惠</w:t>
      </w:r>
      <w:r>
        <w:rPr>
          <w:rFonts w:ascii="仿宋_GB2312" w:eastAsia="仿宋_GB2312" w:hAnsi="Arial" w:cs="Arial" w:hint="eastAsia"/>
          <w:color w:val="000000"/>
          <w:kern w:val="0"/>
          <w:sz w:val="30"/>
          <w:szCs w:val="30"/>
        </w:rPr>
        <w:t>措施。由于具有金融功能的社会保障卡所具备的公益性和政府服务的职能，人社部门可与合作银行协商，给予持卡人一定的优惠</w:t>
      </w:r>
      <w:r>
        <w:rPr>
          <w:rFonts w:ascii="仿宋_GB2312" w:eastAsia="仿宋_GB2312" w:hAnsi="Arial" w:cs="Arial"/>
          <w:color w:val="000000"/>
          <w:kern w:val="0"/>
          <w:sz w:val="30"/>
          <w:szCs w:val="30"/>
        </w:rPr>
        <w:t>。</w:t>
      </w:r>
    </w:p>
    <w:p w:rsidR="00CE792F" w:rsidRDefault="00CE792F">
      <w:pPr>
        <w:widowControl/>
        <w:wordWrap w:val="0"/>
        <w:adjustRightInd w:val="0"/>
        <w:snapToGrid w:val="0"/>
        <w:ind w:firstLineChars="200" w:firstLine="600"/>
        <w:jc w:val="left"/>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（四）应用实现方式</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与金融功能无关的社保应用依靠社会保障卡信息记录、信息查询、业务办理等基本功能实现；基于金融功能的社保应用以社会保障卡为基础，依靠加载的金融功能，通过商业银行提供金融服务来实现；金融应用依靠社会保障卡加载的金融功能，通过商业银行提供金融服务来实现。</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人社部门应建立支持上述应用的信息系统，并通过网络互联、信息交换等方式，实现与银行业务系统的衔接。</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具体实现方式见附图2。</w:t>
      </w:r>
    </w:p>
    <w:p w:rsidR="00CE792F" w:rsidRDefault="00CE792F">
      <w:pPr>
        <w:widowControl/>
        <w:wordWrap w:val="0"/>
        <w:adjustRightInd w:val="0"/>
        <w:snapToGrid w:val="0"/>
        <w:ind w:firstLineChars="200" w:firstLine="600"/>
        <w:jc w:val="left"/>
        <w:rPr>
          <w:rFonts w:ascii="黑体" w:eastAsia="黑体" w:hAnsi="Arial" w:cs="Arial"/>
          <w:color w:val="000000"/>
          <w:kern w:val="0"/>
          <w:sz w:val="30"/>
          <w:szCs w:val="30"/>
        </w:rPr>
      </w:pPr>
      <w:r>
        <w:rPr>
          <w:rFonts w:ascii="黑体" w:eastAsia="黑体" w:hAnsi="Arial" w:cs="Arial" w:hint="eastAsia"/>
          <w:color w:val="000000"/>
          <w:kern w:val="0"/>
          <w:sz w:val="30"/>
          <w:szCs w:val="30"/>
        </w:rPr>
        <w:t>三、应用管理</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具有金融功能的社会保障卡具体应用过程中，人社部门与合作银行应建立管理沟通机制，促进服务体系的衔接，为持卡人提供便捷、高效、安全的联动服务。合作银行应制定具有金融功</w:t>
      </w:r>
      <w:r>
        <w:rPr>
          <w:rFonts w:ascii="楷体_GB2312" w:eastAsia="楷体_GB2312" w:hAnsi="Arial" w:cs="Arial" w:hint="eastAsia"/>
          <w:color w:val="000000"/>
          <w:kern w:val="0"/>
          <w:sz w:val="30"/>
          <w:szCs w:val="30"/>
        </w:rPr>
        <w:t>能</w:t>
      </w:r>
      <w:r>
        <w:rPr>
          <w:rFonts w:ascii="仿宋_GB2312" w:eastAsia="仿宋_GB2312" w:hAnsi="Arial" w:cs="Arial" w:hint="eastAsia"/>
          <w:color w:val="000000"/>
          <w:kern w:val="0"/>
          <w:sz w:val="30"/>
          <w:szCs w:val="30"/>
        </w:rPr>
        <w:t>的社会保障卡银行业务应用管理规定，加强关键环节管控。</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为保证卡的唯一性，首次发放、补卡和换卡须由人社部门发起。</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w:t>
      </w:r>
      <w:r w:rsidR="00CE792F">
        <w:rPr>
          <w:rFonts w:ascii="仿宋_GB2312" w:eastAsia="仿宋_GB2312" w:hAnsi="Arial" w:cs="Arial" w:hint="eastAsia"/>
          <w:color w:val="000000"/>
          <w:kern w:val="0"/>
          <w:sz w:val="30"/>
          <w:szCs w:val="30"/>
        </w:rPr>
        <w:t>首次（初次）发放：人社部门对参保人资料进行审核，审核通过后生成社保应用个人化数据，并将个人资料信息批量发送给合作银行，合作银行按照《</w:t>
      </w:r>
      <w:r w:rsidR="006F662F">
        <w:rPr>
          <w:rFonts w:ascii="仿宋_GB2312" w:eastAsia="仿宋_GB2312" w:hAnsi="Arial" w:cs="Arial" w:hint="eastAsia"/>
          <w:color w:val="000000"/>
          <w:kern w:val="0"/>
          <w:sz w:val="30"/>
          <w:szCs w:val="30"/>
        </w:rPr>
        <w:t>中华人民共和国</w:t>
      </w:r>
      <w:r w:rsidR="00CE792F">
        <w:rPr>
          <w:rFonts w:ascii="仿宋_GB2312" w:eastAsia="仿宋_GB2312" w:hAnsi="Arial" w:cs="Arial" w:hint="eastAsia"/>
          <w:color w:val="000000"/>
          <w:kern w:val="0"/>
          <w:sz w:val="30"/>
          <w:szCs w:val="30"/>
        </w:rPr>
        <w:t>反洗钱法》</w:t>
      </w:r>
      <w:r w:rsidR="006F662F">
        <w:rPr>
          <w:rFonts w:ascii="仿宋_GB2312" w:eastAsia="仿宋_GB2312" w:hAnsi="Arial" w:cs="Arial" w:hint="eastAsia"/>
          <w:color w:val="000000"/>
          <w:kern w:val="0"/>
          <w:sz w:val="30"/>
          <w:szCs w:val="30"/>
        </w:rPr>
        <w:t>（中华人民共和国主席令第56号）</w:t>
      </w:r>
      <w:r w:rsidR="00CE792F">
        <w:rPr>
          <w:rFonts w:ascii="仿宋_GB2312" w:eastAsia="仿宋_GB2312" w:hAnsi="Arial" w:cs="Arial" w:hint="eastAsia"/>
          <w:color w:val="000000"/>
          <w:kern w:val="0"/>
          <w:sz w:val="30"/>
          <w:szCs w:val="30"/>
        </w:rPr>
        <w:t>、《个人存款账户实名制规定》</w:t>
      </w:r>
      <w:r w:rsidR="006F662F">
        <w:rPr>
          <w:rFonts w:ascii="仿宋_GB2312" w:eastAsia="仿宋_GB2312" w:hAnsi="Arial" w:cs="Arial" w:hint="eastAsia"/>
          <w:color w:val="000000"/>
          <w:kern w:val="0"/>
          <w:sz w:val="30"/>
          <w:szCs w:val="30"/>
        </w:rPr>
        <w:t>（中华人民共和国</w:t>
      </w:r>
      <w:r w:rsidR="00027540">
        <w:rPr>
          <w:rFonts w:ascii="仿宋_GB2312" w:eastAsia="仿宋_GB2312" w:hAnsi="Arial" w:cs="Arial" w:hint="eastAsia"/>
          <w:color w:val="000000"/>
          <w:kern w:val="0"/>
          <w:sz w:val="30"/>
          <w:szCs w:val="30"/>
        </w:rPr>
        <w:t>国务院</w:t>
      </w:r>
      <w:r w:rsidR="006F662F">
        <w:rPr>
          <w:rFonts w:ascii="仿宋_GB2312" w:eastAsia="仿宋_GB2312" w:hAnsi="Arial" w:cs="Arial" w:hint="eastAsia"/>
          <w:color w:val="000000"/>
          <w:kern w:val="0"/>
          <w:sz w:val="30"/>
          <w:szCs w:val="30"/>
        </w:rPr>
        <w:t>令第285号）</w:t>
      </w:r>
      <w:r w:rsidR="00CE792F">
        <w:rPr>
          <w:rFonts w:ascii="仿宋_GB2312" w:eastAsia="仿宋_GB2312" w:hAnsi="Arial" w:cs="Arial" w:hint="eastAsia"/>
          <w:color w:val="000000"/>
          <w:kern w:val="0"/>
          <w:sz w:val="30"/>
          <w:szCs w:val="30"/>
        </w:rPr>
        <w:t>等法规制度要求对客户资</w:t>
      </w:r>
      <w:r w:rsidR="00CE792F">
        <w:rPr>
          <w:rFonts w:ascii="仿宋_GB2312" w:eastAsia="仿宋_GB2312" w:hAnsi="Arial" w:cs="Arial" w:hint="eastAsia"/>
          <w:color w:val="000000"/>
          <w:kern w:val="0"/>
          <w:sz w:val="30"/>
          <w:szCs w:val="30"/>
        </w:rPr>
        <w:lastRenderedPageBreak/>
        <w:t>料进行审核，审核通过后生成金融应用个人化数据。按照商定的方式完成卡片制作与个人化后，个人化机构将成品卡传递到人社部门，人社部门将卡发放给持卡人。</w:t>
      </w:r>
      <w:r w:rsidR="00187DAF">
        <w:rPr>
          <w:rFonts w:ascii="仿宋_GB2312" w:eastAsia="仿宋_GB2312" w:hAnsi="Arial" w:cs="Arial" w:hint="eastAsia"/>
          <w:color w:val="000000"/>
          <w:kern w:val="0"/>
          <w:sz w:val="30"/>
          <w:szCs w:val="30"/>
        </w:rPr>
        <w:t>合作银行应按照人民银行有关批量办卡的规定，要求持卡人持个人身份证原件到柜台办理金融功能的激活手续。</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w:t>
      </w:r>
      <w:r w:rsidR="00CE792F">
        <w:rPr>
          <w:rFonts w:ascii="仿宋_GB2312" w:eastAsia="仿宋_GB2312" w:hAnsi="Arial" w:cs="Arial" w:hint="eastAsia"/>
          <w:color w:val="000000"/>
          <w:kern w:val="0"/>
          <w:sz w:val="30"/>
          <w:szCs w:val="30"/>
        </w:rPr>
        <w:t>挂失：挂失分为口头挂失和书面挂失。口头挂失可采用电话等多种渠道。口头挂失后持卡人需要办理正式书面挂失手续。书面挂失可采用两种方式，第一种是分别在人社部门服务网点和合作银行服务网点挂失；第二种是在人社部门服务网点和合作银行任意一方挂失，人社部门和合作银行应采取措施保证挂失信息同步。书面挂失应以第一种方式为主，待各项条件成熟后，各地可逐步研究第二种方式的应用。</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w:t>
      </w:r>
      <w:r w:rsidR="00CE792F">
        <w:rPr>
          <w:rFonts w:ascii="仿宋_GB2312" w:eastAsia="仿宋_GB2312" w:hAnsi="Arial" w:cs="Arial" w:hint="eastAsia"/>
          <w:color w:val="000000"/>
          <w:kern w:val="0"/>
          <w:sz w:val="30"/>
          <w:szCs w:val="30"/>
        </w:rPr>
        <w:t>解挂：解除挂失有两种方式，一种是分别到人社部门服务网点和合作银行网点办理解除挂失手续；第二种是到人社部门或合作银行任意一方办理解除挂失手续，人社部门和合作银行应采取措施保证解除挂失信息同步。解除挂失应以第一种方式为主，待各项条件成熟后，各地可逐步研究第二种方式的应用。</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w:t>
      </w:r>
      <w:r w:rsidR="00CE792F">
        <w:rPr>
          <w:rFonts w:ascii="仿宋_GB2312" w:eastAsia="仿宋_GB2312" w:hAnsi="Arial" w:cs="Arial" w:hint="eastAsia"/>
          <w:color w:val="000000"/>
          <w:kern w:val="0"/>
          <w:sz w:val="30"/>
          <w:szCs w:val="30"/>
        </w:rPr>
        <w:t>补卡：书面挂失后，持卡人应在规定的时间内到人社部门申请挂失补卡，流程与首次发放一致。在补卡的过程中，人社部门可向持卡人提供适当方式进行社保业务办理。</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（五）</w:t>
      </w:r>
      <w:r w:rsidR="00CE792F">
        <w:rPr>
          <w:rFonts w:ascii="仿宋_GB2312" w:eastAsia="仿宋_GB2312" w:hAnsi="Arial" w:cs="Arial" w:hint="eastAsia"/>
          <w:color w:val="000000"/>
          <w:kern w:val="0"/>
          <w:sz w:val="30"/>
          <w:szCs w:val="30"/>
        </w:rPr>
        <w:t>换卡：应用到期或卡损坏后，持卡人可申请换卡，流程与首次发放一致。在换卡的过程中，人社部门可向持卡人提供适当方式进行社保业务办理。</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（六）</w:t>
      </w:r>
      <w:r w:rsidR="00CE792F">
        <w:rPr>
          <w:rFonts w:ascii="仿宋_GB2312" w:eastAsia="仿宋_GB2312" w:hAnsi="Arial" w:cs="Arial" w:hint="eastAsia"/>
          <w:color w:val="000000"/>
          <w:kern w:val="0"/>
          <w:sz w:val="30"/>
          <w:szCs w:val="30"/>
        </w:rPr>
        <w:t>销卡：销卡分两步完成。持卡人先到人社部门完成社保应用的注销，凭人社部门开具的清户通知书再到合作银行完成金融应用的注销。合作银行将卡回收，完成整个销卡处理流程。人社部门和合作银行应采取措施保证销卡信息同步。</w:t>
      </w:r>
    </w:p>
    <w:p w:rsidR="00CE792F" w:rsidRDefault="005B5A79">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（七）</w:t>
      </w:r>
      <w:r w:rsidR="00CE792F">
        <w:rPr>
          <w:rFonts w:ascii="仿宋_GB2312" w:eastAsia="仿宋_GB2312" w:hAnsi="Arial" w:cs="Arial" w:hint="eastAsia"/>
          <w:color w:val="000000"/>
          <w:kern w:val="0"/>
          <w:sz w:val="30"/>
          <w:szCs w:val="30"/>
        </w:rPr>
        <w:t>销毁：销毁分为两种模式，一种为合作银行销毁，合作银行将注销的卡片粉碎销毁；另一种为人社部门销毁，合作银行将已回收卡片送往人社部门，由人社部门粉碎销毁。无论采用何种销毁方式，人社部门和合作银行均应采取措施保证销毁信息共享。</w:t>
      </w:r>
    </w:p>
    <w:p w:rsidR="00CE792F" w:rsidRDefault="005B5A79">
      <w:pPr>
        <w:widowControl/>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（八）</w:t>
      </w:r>
      <w:r w:rsidR="00CE792F">
        <w:rPr>
          <w:rFonts w:ascii="仿宋_GB2312" w:eastAsia="仿宋_GB2312" w:hAnsi="Arial" w:cs="Arial" w:hint="eastAsia"/>
          <w:color w:val="000000"/>
          <w:kern w:val="0"/>
          <w:sz w:val="30"/>
          <w:szCs w:val="30"/>
        </w:rPr>
        <w:t>密钥管理</w:t>
      </w:r>
      <w:r>
        <w:rPr>
          <w:rFonts w:ascii="仿宋_GB2312" w:eastAsia="仿宋_GB2312" w:hAnsi="Arial" w:cs="Arial" w:hint="eastAsia"/>
          <w:color w:val="000000"/>
          <w:kern w:val="0"/>
          <w:sz w:val="30"/>
          <w:szCs w:val="30"/>
        </w:rPr>
        <w:t>：</w:t>
      </w:r>
      <w:r w:rsidR="00CE792F">
        <w:rPr>
          <w:rFonts w:ascii="仿宋_GB2312" w:eastAsia="仿宋_GB2312" w:hAnsi="华文中宋" w:hint="eastAsia"/>
          <w:sz w:val="30"/>
          <w:szCs w:val="30"/>
        </w:rPr>
        <w:t>人社部门按照人力资源社会保障部关于社会保障卡密钥管理的有关要求，管理</w:t>
      </w:r>
      <w:r w:rsidR="00CE792F">
        <w:rPr>
          <w:rFonts w:ascii="仿宋_GB2312" w:eastAsia="仿宋_GB2312" w:hAnsi="Arial" w:cs="Arial" w:hint="eastAsia"/>
          <w:color w:val="000000"/>
          <w:kern w:val="0"/>
          <w:sz w:val="30"/>
          <w:szCs w:val="30"/>
        </w:rPr>
        <w:t>卡中的社保应用密钥；合作</w:t>
      </w:r>
      <w:r w:rsidR="00CE792F">
        <w:rPr>
          <w:rFonts w:ascii="仿宋_GB2312" w:eastAsia="仿宋_GB2312" w:hAnsi="华文中宋" w:hint="eastAsia"/>
          <w:sz w:val="30"/>
          <w:szCs w:val="30"/>
        </w:rPr>
        <w:t>银行按照人民银行关于金融IC卡密钥管理的有关要求，管理</w:t>
      </w:r>
      <w:r w:rsidR="00CE792F">
        <w:rPr>
          <w:rFonts w:ascii="仿宋_GB2312" w:eastAsia="仿宋_GB2312" w:hAnsi="Arial" w:cs="Arial" w:hint="eastAsia"/>
          <w:color w:val="000000"/>
          <w:kern w:val="0"/>
          <w:sz w:val="30"/>
          <w:szCs w:val="30"/>
        </w:rPr>
        <w:t>卡中的</w:t>
      </w:r>
      <w:r w:rsidR="00CE792F">
        <w:rPr>
          <w:rFonts w:ascii="仿宋_GB2312" w:eastAsia="仿宋_GB2312" w:hAnsi="华文中宋" w:hint="eastAsia"/>
          <w:sz w:val="30"/>
          <w:szCs w:val="30"/>
        </w:rPr>
        <w:t>金融应用密钥。</w:t>
      </w:r>
    </w:p>
    <w:p w:rsidR="00CE792F" w:rsidRDefault="00CE792F">
      <w:pPr>
        <w:widowControl/>
        <w:adjustRightInd w:val="0"/>
        <w:snapToGrid w:val="0"/>
        <w:ind w:firstLineChars="200" w:firstLine="600"/>
        <w:rPr>
          <w:rFonts w:ascii="黑体" w:eastAsia="黑体" w:hAnsi="Arial" w:cs="Arial"/>
          <w:color w:val="000000"/>
          <w:kern w:val="0"/>
          <w:sz w:val="30"/>
          <w:szCs w:val="30"/>
        </w:rPr>
      </w:pPr>
      <w:r>
        <w:rPr>
          <w:rFonts w:ascii="黑体" w:eastAsia="黑体" w:hAnsi="Arial" w:cs="Arial" w:hint="eastAsia"/>
          <w:color w:val="000000"/>
          <w:kern w:val="0"/>
          <w:sz w:val="30"/>
          <w:szCs w:val="30"/>
        </w:rPr>
        <w:t>四、产品选择</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各地发行具有金融功能的社会保障卡，所采用的产品应符合《“中华人民共和国社会保障卡”管理办法》（人社部发</w:t>
      </w:r>
      <w:r w:rsidR="00D61CB8" w:rsidRPr="00D61CB8">
        <w:rPr>
          <w:rFonts w:ascii="仿宋_GB2312" w:eastAsia="仿宋_GB2312" w:hAnsi="Arial" w:cs="Arial" w:hint="eastAsia"/>
          <w:color w:val="000000"/>
          <w:kern w:val="0"/>
          <w:sz w:val="30"/>
          <w:szCs w:val="30"/>
        </w:rPr>
        <w:t>〔2011〕</w:t>
      </w:r>
      <w:r>
        <w:rPr>
          <w:rFonts w:ascii="仿宋_GB2312" w:eastAsia="仿宋_GB2312" w:hAnsi="Arial" w:cs="Arial" w:hint="eastAsia"/>
          <w:color w:val="000000"/>
          <w:kern w:val="0"/>
          <w:sz w:val="30"/>
          <w:szCs w:val="30"/>
        </w:rPr>
        <w:t>47号）以及人民银行关于金融IC卡的有关规定。相关要求如下：</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（一）芯片选择</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具有金融功能的社会保障卡芯片应符合《“中华人民共和国社会保障卡”管理办法》（人社部发</w:t>
      </w:r>
      <w:r w:rsidR="00D61CB8" w:rsidRPr="00D61CB8">
        <w:rPr>
          <w:rFonts w:ascii="仿宋_GB2312" w:eastAsia="仿宋_GB2312" w:hAnsi="Arial" w:cs="Arial" w:hint="eastAsia"/>
          <w:color w:val="000000"/>
          <w:kern w:val="0"/>
          <w:sz w:val="30"/>
          <w:szCs w:val="30"/>
        </w:rPr>
        <w:t>〔2011〕</w:t>
      </w:r>
      <w:r>
        <w:rPr>
          <w:rFonts w:ascii="仿宋_GB2312" w:eastAsia="仿宋_GB2312" w:hAnsi="Arial" w:cs="Arial" w:hint="eastAsia"/>
          <w:color w:val="000000"/>
          <w:kern w:val="0"/>
          <w:sz w:val="30"/>
          <w:szCs w:val="30"/>
        </w:rPr>
        <w:t>47号）的相关要求，同时获得人力资源社会保障部和人民银行的认可。</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（二）卡片选择</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具有金融功能的社会保障卡卡片和卡内操作系统（COS）需经过人力资源社会保障部与人民银行认可的检测机构检测。</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楷体_GB2312" w:eastAsia="楷体_GB2312" w:hAnsi="Arial" w:cs="Arial" w:hint="eastAsia"/>
          <w:color w:val="000000"/>
          <w:kern w:val="0"/>
          <w:sz w:val="30"/>
          <w:szCs w:val="30"/>
        </w:rPr>
        <w:t>（三）读写终端选择</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仿宋_GB2312" w:eastAsia="仿宋_GB2312" w:hAnsi="Arial" w:cs="Arial" w:hint="eastAsia"/>
          <w:color w:val="000000"/>
          <w:kern w:val="0"/>
          <w:sz w:val="30"/>
          <w:szCs w:val="30"/>
        </w:rPr>
        <w:t>受理具有金融功能的社会保障卡的社保业务功能终端应经过人力资源社会保障部认可的检测机构检测；金融业务功能终端应经过人民银行认可的检测机构检测；全业务功能终端应经过人力资源社会保障部与人民银行认可的检测机构检测。</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（四）卡片供应商选择</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具有金融功能的社会保障卡制作应选择满足人力资源社会保障部和人民银行相关要求，并获得人力资源社会保障部和人民银行认可的卡片供应商完成。</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（五）第三方个人化机构选择</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如采用集中个人化模式，承担具有金融功能的社会保障卡个人化的第三方机构须同时符合人力资源社会保障部和人民银行相关资质要求，获得人力资源社会保障部和人民银行的认可；如采用分步个人化模式，第三方机构须符合人力资源社会保障部关于社会保障卡个人化的相关要求，或人民银行关于金融IC卡个人化的相关要求。</w:t>
      </w:r>
    </w:p>
    <w:p w:rsidR="00CE792F" w:rsidRDefault="00CE792F">
      <w:pPr>
        <w:widowControl/>
        <w:wordWrap w:val="0"/>
        <w:adjustRightInd w:val="0"/>
        <w:snapToGrid w:val="0"/>
        <w:ind w:firstLineChars="200" w:firstLine="600"/>
        <w:rPr>
          <w:rFonts w:ascii="黑体" w:eastAsia="黑体" w:hAnsi="Arial" w:cs="Arial"/>
          <w:color w:val="000000"/>
          <w:kern w:val="0"/>
          <w:sz w:val="30"/>
          <w:szCs w:val="30"/>
        </w:rPr>
      </w:pPr>
      <w:r>
        <w:rPr>
          <w:rFonts w:ascii="黑体" w:eastAsia="黑体" w:hAnsi="Arial" w:cs="Arial" w:hint="eastAsia"/>
          <w:color w:val="000000"/>
          <w:kern w:val="0"/>
          <w:sz w:val="30"/>
          <w:szCs w:val="30"/>
        </w:rPr>
        <w:t>五、卡片制作与个人化模式</w:t>
      </w:r>
    </w:p>
    <w:p w:rsidR="00CE792F" w:rsidRDefault="00CE792F">
      <w:pPr>
        <w:widowControl/>
        <w:wordWrap w:val="0"/>
        <w:adjustRightInd w:val="0"/>
        <w:snapToGrid w:val="0"/>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具有金融功能的社会保障卡卡内文件结构划分、控制密钥加载、卡面印刷、个性化信息写入等卡片制作（</w:t>
      </w:r>
      <w:r w:rsidR="00B84A0E">
        <w:rPr>
          <w:rFonts w:ascii="仿宋_GB2312" w:eastAsia="仿宋_GB2312" w:hAnsi="Arial" w:cs="Arial" w:hint="eastAsia"/>
          <w:color w:val="000000"/>
          <w:kern w:val="0"/>
          <w:sz w:val="30"/>
          <w:szCs w:val="30"/>
        </w:rPr>
        <w:t>以下简称</w:t>
      </w:r>
      <w:r>
        <w:rPr>
          <w:rFonts w:ascii="仿宋_GB2312" w:eastAsia="仿宋_GB2312" w:hAnsi="Arial" w:cs="Arial" w:hint="eastAsia"/>
          <w:color w:val="000000"/>
          <w:kern w:val="0"/>
          <w:sz w:val="30"/>
          <w:szCs w:val="30"/>
        </w:rPr>
        <w:t>个人化）工作，可采用社保应用与金融应用统一进行个人化的工作模式（即集中个人化模式），也可采用社保应用与金融应用分别进行</w:t>
      </w:r>
      <w:r>
        <w:rPr>
          <w:rFonts w:ascii="仿宋_GB2312" w:eastAsia="仿宋_GB2312" w:hAnsi="Arial" w:cs="Arial" w:hint="eastAsia"/>
          <w:color w:val="000000"/>
          <w:kern w:val="0"/>
          <w:sz w:val="30"/>
          <w:szCs w:val="30"/>
        </w:rPr>
        <w:lastRenderedPageBreak/>
        <w:t>个人化的工作模式（即分步个人化模式）。具体方式由发卡地区人社部门商合作银行共同确定，但应优先选择集中个人化模式。</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（一）集中个人化模式</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集中个人化模式由同一组织或机构一次性完成社保、金融两部分应用的个人化。集中个人化模式的个人化机构可以是地方人社部门、合作银行，也可以是双方认可的第三方个人化机构。该第三方机构需要具备本方案第四部分所提出的各类管理要求。</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集中个人化模式具体过程如下：</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数据写入。社保应用与金融应用分别准备各自的业务数据，按照各自的规则分别生成发卡数据文件，传到个人化机构的数据准备系统，经校验、比对、整合后，建立数据关联关系，经个人化系统一并写入卡中，并进行卡面个人化。</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密钥写入。社保密钥与金融密钥分别由各方提供的密钥管理系统进行管理。在个人化时，两个应用的各类密钥（包括各自的主控密钥KMC）通过个人化机构密钥管理系统提供的密钥服务，经个人化系统一并写入卡中。</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（二）分步个人化模式</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 xml:space="preserve">分步个人化模式由不同组织或机构分步完成社保、金融两部分应用的个人化。其中，社保应用个人化机构可以是地方人社部门或地方人社部门认可的第三方个人化机构；金融应用个人化机构可以是合作银行或合作银行认可的第三方个人化机构。 </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分步个人化模式具体过程如下：</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1.个人化过程。先由一方的个人化机构完成相关应用的个人化，再交由另一方的个人化机构完成另一应用的个人化。双方的</w:t>
      </w:r>
      <w:r>
        <w:rPr>
          <w:rFonts w:ascii="仿宋_GB2312" w:eastAsia="仿宋_GB2312" w:hAnsi="Arial" w:cs="Arial" w:hint="eastAsia"/>
          <w:color w:val="000000"/>
          <w:kern w:val="0"/>
          <w:sz w:val="30"/>
          <w:szCs w:val="30"/>
        </w:rPr>
        <w:lastRenderedPageBreak/>
        <w:t>个人化均按照各自个人化规则进行。各方在完成个人化后均需生成包括个人化反馈数据在内的个人化相关数据文件。后进行个人化的一方，生成的个人化相关数据文件中还应包括卡片邮寄数据、卡片包装数据等发卡数据，供卡的发放使用。</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2.两次个人化的关联。两次个人化的关联关系可以通过两种方式建立。</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方式一：通过卡片内存储的个人信息进行关联。第二次个人化时读取第一次个人化写入卡片的个人信息，查询个人化数据，建立关联关系，完成第二次个人化。</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方式二：通过第一次个人化产生的反馈数据进行关联。第一次个人化后产生个人化反馈数据，第二次个人化通过反馈数据和个人化数据建立关联关系，完成第二次个人化。</w:t>
      </w:r>
    </w:p>
    <w:p w:rsidR="00CE792F" w:rsidRDefault="00CE792F">
      <w:pPr>
        <w:widowControl/>
        <w:wordWrap w:val="0"/>
        <w:adjustRightInd w:val="0"/>
        <w:snapToGrid w:val="0"/>
        <w:ind w:firstLineChars="200" w:firstLine="600"/>
        <w:rPr>
          <w:rFonts w:ascii="楷体_GB2312" w:eastAsia="楷体_GB2312" w:hAnsi="Arial" w:cs="Arial"/>
          <w:color w:val="000000"/>
          <w:kern w:val="0"/>
          <w:sz w:val="30"/>
          <w:szCs w:val="30"/>
        </w:rPr>
      </w:pPr>
      <w:r>
        <w:rPr>
          <w:rFonts w:ascii="楷体_GB2312" w:eastAsia="楷体_GB2312" w:hAnsi="Arial" w:cs="Arial" w:hint="eastAsia"/>
          <w:color w:val="000000"/>
          <w:kern w:val="0"/>
          <w:sz w:val="30"/>
          <w:szCs w:val="30"/>
        </w:rPr>
        <w:t>（三）数据准备与数据匹配</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采用上述两种个人化模式皆应针对社保应用和金融应用，分别做好数据准备工作，并对两项应用中的数据进行匹配。</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1</w:t>
      </w:r>
      <w:r>
        <w:rPr>
          <w:rFonts w:ascii="仿宋_GB2312" w:eastAsia="仿宋_GB2312" w:hAnsi="Arial" w:cs="Arial"/>
          <w:color w:val="000000"/>
          <w:kern w:val="0"/>
          <w:sz w:val="30"/>
          <w:szCs w:val="30"/>
        </w:rPr>
        <w:t>.</w:t>
      </w:r>
      <w:r>
        <w:rPr>
          <w:rFonts w:ascii="仿宋_GB2312" w:eastAsia="仿宋_GB2312" w:hAnsi="Arial" w:cs="Arial" w:hint="eastAsia"/>
          <w:color w:val="000000"/>
          <w:kern w:val="0"/>
          <w:sz w:val="30"/>
          <w:szCs w:val="30"/>
        </w:rPr>
        <w:t>数据准备。社保数据准备应依据人力资源社会保障部批准的卡内文件结构进行，具体数据文件的格式，由个人化机构与发卡地区人社部门事先约定。金融数据准备的要求，参照《中国金融集成电路（IC）卡规范》（JR/T0025-2010）执行。</w:t>
      </w:r>
    </w:p>
    <w:p w:rsidR="00CE792F" w:rsidRDefault="00CE792F">
      <w:pPr>
        <w:widowControl/>
        <w:wordWrap w:val="0"/>
        <w:adjustRightInd w:val="0"/>
        <w:snapToGrid w:val="0"/>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2.数据匹配。已完成各自单独应用数据准备工作的社保应用、金融应用两部分个人化数据，应按照一定规则进行匹配。数据匹配必须采用双方数据文件中共有的数据项作为唯一的匹配标识，且该数据项本身具有唯一性（如社会保障号码）。完成匹配的数</w:t>
      </w:r>
      <w:r>
        <w:rPr>
          <w:rFonts w:ascii="仿宋_GB2312" w:eastAsia="仿宋_GB2312" w:hAnsi="Arial" w:cs="Arial" w:hint="eastAsia"/>
          <w:color w:val="000000"/>
          <w:kern w:val="0"/>
          <w:sz w:val="30"/>
          <w:szCs w:val="30"/>
        </w:rPr>
        <w:lastRenderedPageBreak/>
        <w:t>据文件格式，由个人化机构与发卡地区人社部门、合作银行共同确定。</w:t>
      </w:r>
    </w:p>
    <w:p w:rsidR="00CE792F" w:rsidRDefault="00CE792F">
      <w:pPr>
        <w:widowControl/>
        <w:wordWrap w:val="0"/>
        <w:adjustRightInd w:val="0"/>
        <w:snapToGrid w:val="0"/>
        <w:ind w:firstLine="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 xml:space="preserve"> </w:t>
      </w:r>
      <w:r>
        <w:rPr>
          <w:rFonts w:ascii="仿宋_GB2312" w:eastAsia="仿宋_GB2312" w:hAnsi="Arial" w:cs="Arial"/>
          <w:color w:val="000000"/>
          <w:kern w:val="0"/>
          <w:sz w:val="30"/>
          <w:szCs w:val="30"/>
        </w:rPr>
        <w:br w:type="page"/>
      </w:r>
    </w:p>
    <w:p w:rsidR="00C92E2F" w:rsidRDefault="006A1904">
      <w:pPr>
        <w:widowControl/>
        <w:wordWrap w:val="0"/>
        <w:adjustRightInd w:val="0"/>
        <w:snapToGrid w:val="0"/>
        <w:ind w:firstLine="0"/>
        <w:rPr>
          <w:rFonts w:ascii="仿宋_GB2312" w:eastAsia="仿宋_GB2312" w:hAnsi="Arial" w:cs="Arial"/>
          <w:color w:val="000000"/>
          <w:kern w:val="0"/>
          <w:sz w:val="30"/>
          <w:szCs w:val="30"/>
        </w:rPr>
      </w:pPr>
      <w:r>
        <w:rPr>
          <w:rFonts w:ascii="仿宋_GB2312" w:eastAsia="仿宋_GB2312" w:hAnsi="Arial" w:cs="Arial"/>
          <w:noProof/>
          <w:color w:val="000000"/>
          <w:kern w:val="0"/>
          <w:sz w:val="30"/>
          <w:szCs w:val="30"/>
        </w:rPr>
        <w:lastRenderedPageBreak/>
        <w:pict>
          <v:group id="_x0000_s1074" style="position:absolute;left:0;text-align:left;margin-left:3.6pt;margin-top:5.35pt;width:409.45pt;height:286.45pt;z-index:251659776" coordorigin="1891,1704" coordsize="8189,5729">
            <v:group id="_x0000_s1075" style="position:absolute;left:1891;top:1704;width:8189;height:4989" coordorigin="1891,10007" coordsize="8189,4989">
              <v:rect id="_x0000_s1076" style="position:absolute;left:1891;top:10007;width:8189;height:4989"/>
              <v:shapetype id="_x0000_t202" coordsize="21600,21600" o:spt="202" path="m,l,21600r21600,l21600,xe">
                <v:stroke joinstyle="miter"/>
                <v:path gradientshapeok="t" o:connecttype="rect"/>
              </v:shapetype>
              <v:shape id="_x0000_s1077" type="#_x0000_t202" style="position:absolute;left:5382;top:10080;width:1163;height:538" stroked="f">
                <v:textbox style="mso-next-textbox:#_x0000_s1077">
                  <w:txbxContent>
                    <w:p w:rsidR="00C92E2F" w:rsidRDefault="00C92E2F" w:rsidP="00C92E2F">
                      <w:pPr>
                        <w:ind w:firstLine="0"/>
                        <w:jc w:val="center"/>
                        <w:rPr>
                          <w:rFonts w:ascii="宋体" w:eastAsia="宋体" w:hAnsi="宋体"/>
                        </w:rPr>
                      </w:pPr>
                      <w:r>
                        <w:rPr>
                          <w:rFonts w:ascii="宋体" w:eastAsia="宋体" w:hAnsi="宋体" w:hint="eastAsia"/>
                        </w:rPr>
                        <w:t>防火墙</w:t>
                      </w:r>
                    </w:p>
                  </w:txbxContent>
                </v:textbox>
              </v:shape>
              <v:group id="_x0000_s1078" style="position:absolute;left:1996;top:10535;width:7920;height:4270" coordorigin="1980,8556" coordsize="7920,4270">
                <v:line id="_x0000_s1079" style="position:absolute" from="5940,8556" to="5941,11422" strokecolor="red" strokeweight="1.75pt">
                  <v:stroke dashstyle="dash"/>
                </v:line>
                <v:group id="_x0000_s1080" style="position:absolute;left:1980;top:8727;width:3780;height:2541" coordorigin="1980,8616" coordsize="3780,2541">
                  <v:rect id="_x0000_s1081" style="position:absolute;left:2157;top:8772;width:3420;height:624" strokeweight="1.75pt">
                    <v:textbox style="mso-next-textbox:#_x0000_s1081">
                      <w:txbxContent>
                        <w:p w:rsidR="00C92E2F" w:rsidRDefault="00C92E2F" w:rsidP="00C92E2F">
                          <w:pPr>
                            <w:ind w:firstLine="0"/>
                            <w:jc w:val="center"/>
                            <w:rPr>
                              <w:rFonts w:ascii="宋体" w:eastAsia="宋体" w:hAnsi="宋体"/>
                              <w:b/>
                            </w:rPr>
                          </w:pPr>
                          <w:r>
                            <w:rPr>
                              <w:rFonts w:ascii="宋体" w:eastAsia="宋体" w:hAnsi="宋体" w:hint="eastAsia"/>
                              <w:b/>
                            </w:rPr>
                            <w:t>社保应用</w:t>
                          </w:r>
                        </w:p>
                      </w:txbxContent>
                    </v:textbox>
                  </v:rect>
                  <v:rect id="_x0000_s1082" style="position:absolute;left:2160;top:9552;width:1620;height:624">
                    <v:textbox style="mso-next-textbox:#_x0000_s1082">
                      <w:txbxContent>
                        <w:p w:rsidR="00C92E2F" w:rsidRDefault="00C92E2F" w:rsidP="00C92E2F">
                          <w:pPr>
                            <w:ind w:hanging="142"/>
                            <w:jc w:val="center"/>
                          </w:pPr>
                          <w:r>
                            <w:rPr>
                              <w:rFonts w:ascii="宋体" w:eastAsia="宋体" w:hAnsi="宋体" w:hint="eastAsia"/>
                            </w:rPr>
                            <w:t>命令管理模块</w:t>
                          </w:r>
                        </w:p>
                      </w:txbxContent>
                    </v:textbox>
                  </v:rect>
                  <v:rect id="_x0000_s1083" style="position:absolute;left:3960;top:9552;width:1620;height:624">
                    <v:textbox style="mso-next-textbox:#_x0000_s1083">
                      <w:txbxContent>
                        <w:p w:rsidR="00C92E2F" w:rsidRDefault="00C92E2F" w:rsidP="00C92E2F">
                          <w:pPr>
                            <w:ind w:firstLine="0"/>
                            <w:jc w:val="center"/>
                          </w:pPr>
                          <w:r>
                            <w:rPr>
                              <w:rFonts w:ascii="宋体" w:eastAsia="宋体" w:hAnsi="宋体" w:hint="eastAsia"/>
                            </w:rPr>
                            <w:t>文件管理模块</w:t>
                          </w:r>
                        </w:p>
                      </w:txbxContent>
                    </v:textbox>
                  </v:rect>
                  <v:rect id="_x0000_s1084" style="position:absolute;left:2160;top:10332;width:3420;height:624">
                    <v:textbox style="mso-next-textbox:#_x0000_s1084">
                      <w:txbxContent>
                        <w:p w:rsidR="00C92E2F" w:rsidRDefault="00C92E2F" w:rsidP="00C92E2F">
                          <w:pPr>
                            <w:ind w:hanging="142"/>
                            <w:jc w:val="center"/>
                            <w:rPr>
                              <w:rFonts w:ascii="宋体" w:eastAsia="宋体" w:hAnsi="宋体"/>
                            </w:rPr>
                          </w:pPr>
                          <w:r>
                            <w:rPr>
                              <w:rFonts w:ascii="宋体" w:eastAsia="宋体" w:hAnsi="宋体" w:hint="eastAsia"/>
                            </w:rPr>
                            <w:t>安全管理模块</w:t>
                          </w:r>
                        </w:p>
                      </w:txbxContent>
                    </v:textbox>
                  </v:rect>
                  <v:rect id="_x0000_s1085" style="position:absolute;left:1980;top:8616;width:3780;height:2541" filled="f">
                    <v:stroke dashstyle="dash"/>
                  </v:rect>
                </v:group>
                <v:group id="_x0000_s1086" style="position:absolute;left:6120;top:8727;width:3780;height:2541" coordorigin="6120,8616" coordsize="3780,2541">
                  <v:rect id="_x0000_s1087" style="position:absolute;left:6300;top:9552;width:1620;height:624" strokecolor="#03c">
                    <v:textbox style="mso-next-textbox:#_x0000_s1087">
                      <w:txbxContent>
                        <w:p w:rsidR="00C92E2F" w:rsidRDefault="00C92E2F" w:rsidP="00C92E2F">
                          <w:pPr>
                            <w:ind w:firstLine="0"/>
                            <w:jc w:val="center"/>
                            <w:rPr>
                              <w:rFonts w:ascii="宋体" w:eastAsia="宋体" w:hAnsi="宋体"/>
                            </w:rPr>
                          </w:pPr>
                          <w:r>
                            <w:rPr>
                              <w:rFonts w:ascii="宋体" w:eastAsia="宋体" w:hAnsi="宋体" w:hint="eastAsia"/>
                            </w:rPr>
                            <w:t>命令管理模块</w:t>
                          </w:r>
                        </w:p>
                      </w:txbxContent>
                    </v:textbox>
                  </v:rect>
                  <v:rect id="_x0000_s1088" style="position:absolute;left:8100;top:9552;width:1620;height:624" strokecolor="#03c">
                    <v:textbox style="mso-next-textbox:#_x0000_s1088">
                      <w:txbxContent>
                        <w:p w:rsidR="00C92E2F" w:rsidRDefault="00C92E2F" w:rsidP="00C92E2F">
                          <w:pPr>
                            <w:ind w:firstLine="0"/>
                            <w:jc w:val="center"/>
                            <w:rPr>
                              <w:rFonts w:ascii="宋体" w:eastAsia="宋体" w:hAnsi="宋体"/>
                            </w:rPr>
                          </w:pPr>
                          <w:r>
                            <w:rPr>
                              <w:rFonts w:ascii="宋体" w:eastAsia="宋体" w:hAnsi="宋体" w:hint="eastAsia"/>
                            </w:rPr>
                            <w:t>文件管理模块</w:t>
                          </w:r>
                        </w:p>
                      </w:txbxContent>
                    </v:textbox>
                  </v:rect>
                  <v:rect id="_x0000_s1089" style="position:absolute;left:6300;top:10332;width:3420;height:624" strokecolor="#03c">
                    <v:textbox style="mso-next-textbox:#_x0000_s1089">
                      <w:txbxContent>
                        <w:p w:rsidR="00C92E2F" w:rsidRDefault="00C92E2F" w:rsidP="00C92E2F">
                          <w:pPr>
                            <w:ind w:hanging="142"/>
                            <w:jc w:val="center"/>
                            <w:rPr>
                              <w:rFonts w:ascii="宋体" w:eastAsia="宋体" w:hAnsi="宋体"/>
                            </w:rPr>
                          </w:pPr>
                          <w:r>
                            <w:rPr>
                              <w:rFonts w:ascii="宋体" w:eastAsia="宋体" w:hAnsi="宋体" w:hint="eastAsia"/>
                            </w:rPr>
                            <w:t>安全管理模块</w:t>
                          </w:r>
                        </w:p>
                      </w:txbxContent>
                    </v:textbox>
                  </v:rect>
                  <v:rect id="_x0000_s1090" style="position:absolute;left:6300;top:8772;width:3420;height:624" strokecolor="#03c" strokeweight="1.75pt">
                    <v:textbox style="mso-next-textbox:#_x0000_s1090">
                      <w:txbxContent>
                        <w:p w:rsidR="00C92E2F" w:rsidRDefault="00C92E2F" w:rsidP="00C92E2F">
                          <w:pPr>
                            <w:ind w:firstLine="0"/>
                            <w:jc w:val="center"/>
                            <w:rPr>
                              <w:rFonts w:ascii="宋体" w:eastAsia="宋体" w:hAnsi="宋体"/>
                              <w:b/>
                            </w:rPr>
                          </w:pPr>
                          <w:r>
                            <w:rPr>
                              <w:rFonts w:ascii="宋体" w:eastAsia="宋体" w:hAnsi="宋体" w:hint="eastAsia"/>
                              <w:b/>
                            </w:rPr>
                            <w:t>金融应用</w:t>
                          </w:r>
                        </w:p>
                        <w:p w:rsidR="00C92E2F" w:rsidRDefault="00C92E2F" w:rsidP="00C92E2F"/>
                      </w:txbxContent>
                    </v:textbox>
                  </v:rect>
                  <v:rect id="_x0000_s1091" style="position:absolute;left:6120;top:8616;width:3780;height:2541" filled="f" strokecolor="#03c">
                    <v:stroke dashstyle="dash"/>
                  </v:rect>
                </v:group>
                <v:rect id="_x0000_s1092" style="position:absolute;left:1980;top:11452;width:7920;height:624" fillcolor="#eaeaea">
                  <v:textbox style="mso-next-textbox:#_x0000_s1092">
                    <w:txbxContent>
                      <w:p w:rsidR="00C92E2F" w:rsidRDefault="00C92E2F" w:rsidP="00C92E2F">
                        <w:pPr>
                          <w:ind w:firstLine="0"/>
                          <w:jc w:val="center"/>
                          <w:rPr>
                            <w:rFonts w:ascii="宋体" w:eastAsia="宋体" w:hAnsi="宋体"/>
                          </w:rPr>
                        </w:pPr>
                        <w:r>
                          <w:rPr>
                            <w:rFonts w:ascii="宋体" w:eastAsia="宋体" w:hAnsi="宋体" w:hint="eastAsia"/>
                          </w:rPr>
                          <w:t>硬件驱动层（通讯、运算、存储器访问）</w:t>
                        </w:r>
                      </w:p>
                    </w:txbxContent>
                  </v:textbox>
                </v:rect>
                <v:rect id="_x0000_s1093" style="position:absolute;left:1980;top:12202;width:7920;height:624" fillcolor="#c3ebd7">
                  <v:textbox style="mso-next-textbox:#_x0000_s1093">
                    <w:txbxContent>
                      <w:p w:rsidR="00C92E2F" w:rsidRDefault="00C92E2F" w:rsidP="00C92E2F">
                        <w:pPr>
                          <w:ind w:firstLine="0"/>
                          <w:jc w:val="center"/>
                        </w:pPr>
                        <w:r>
                          <w:rPr>
                            <w:rFonts w:ascii="宋体" w:eastAsia="宋体" w:hAnsi="宋体" w:hint="eastAsia"/>
                          </w:rPr>
                          <w:t>芯片</w:t>
                        </w:r>
                      </w:p>
                    </w:txbxContent>
                  </v:textbox>
                </v:rect>
              </v:group>
            </v:group>
            <v:shape id="_x0000_s1094" type="#_x0000_t202" style="position:absolute;left:2574;top:6750;width:6756;height:683;mso-width-relative:margin;mso-height-relative:margin" stroked="f">
              <v:textbox style="mso-next-textbox:#_x0000_s1094">
                <w:txbxContent>
                  <w:p w:rsidR="00C92E2F" w:rsidRDefault="00C92E2F" w:rsidP="00C92E2F">
                    <w:pPr>
                      <w:ind w:firstLine="0"/>
                      <w:jc w:val="center"/>
                      <w:rPr>
                        <w:rFonts w:ascii="宋体" w:eastAsia="宋体" w:hAnsi="宋体"/>
                        <w:b/>
                        <w:sz w:val="24"/>
                        <w:szCs w:val="24"/>
                      </w:rPr>
                    </w:pPr>
                    <w:r>
                      <w:rPr>
                        <w:rFonts w:ascii="宋体" w:eastAsia="宋体" w:hAnsi="宋体" w:hint="eastAsia"/>
                        <w:b/>
                        <w:sz w:val="24"/>
                        <w:szCs w:val="24"/>
                      </w:rPr>
                      <w:t>附图1  具有金融功能的社会保障卡卡片架构</w:t>
                    </w:r>
                  </w:p>
                </w:txbxContent>
              </v:textbox>
            </v:shape>
          </v:group>
        </w:pict>
      </w: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92E2F" w:rsidRDefault="00C92E2F">
      <w:pPr>
        <w:widowControl/>
        <w:wordWrap w:val="0"/>
        <w:adjustRightInd w:val="0"/>
        <w:snapToGrid w:val="0"/>
        <w:ind w:firstLine="0"/>
        <w:rPr>
          <w:rFonts w:ascii="仿宋_GB2312" w:eastAsia="仿宋_GB2312" w:hAnsi="Arial" w:cs="Arial"/>
          <w:color w:val="000000"/>
          <w:kern w:val="0"/>
          <w:sz w:val="30"/>
          <w:szCs w:val="30"/>
        </w:rPr>
      </w:pPr>
    </w:p>
    <w:p w:rsidR="00CE792F" w:rsidRDefault="006A1904">
      <w:pPr>
        <w:widowControl/>
        <w:wordWrap w:val="0"/>
        <w:adjustRightInd w:val="0"/>
        <w:snapToGrid w:val="0"/>
        <w:ind w:firstLine="0"/>
        <w:rPr>
          <w:rFonts w:ascii="仿宋_GB2312" w:eastAsia="仿宋_GB2312" w:hAnsi="Arial" w:cs="Arial"/>
          <w:color w:val="000000"/>
          <w:kern w:val="0"/>
          <w:sz w:val="30"/>
          <w:szCs w:val="30"/>
        </w:rPr>
      </w:pPr>
      <w:r>
        <w:rPr>
          <w:rFonts w:ascii="仿宋_GB2312" w:eastAsia="仿宋_GB2312" w:hAnsi="Arial" w:cs="Arial"/>
          <w:noProof/>
          <w:color w:val="000000"/>
          <w:kern w:val="0"/>
          <w:sz w:val="30"/>
          <w:szCs w:val="30"/>
        </w:rPr>
        <w:pict>
          <v:group id="_x0000_s1072" style="position:absolute;left:0;text-align:left;margin-left:9pt;margin-top:8.65pt;width:407.8pt;height:301.45pt;z-index:251658752" coordorigin="2074,8602" coordsize="8156,6029">
            <v:shape id="_x0000_s1044" type="#_x0000_t202" style="position:absolute;left:2746;top:13948;width:6756;height:683;mso-width-relative:margin;mso-height-relative:margin" stroked="f">
              <v:textbox style="mso-next-textbox:#_x0000_s1044">
                <w:txbxContent>
                  <w:p w:rsidR="00CE792F" w:rsidRDefault="00CE792F">
                    <w:pPr>
                      <w:ind w:firstLine="0"/>
                      <w:jc w:val="center"/>
                      <w:rPr>
                        <w:rFonts w:ascii="宋体" w:eastAsia="宋体" w:hAnsi="宋体"/>
                        <w:b/>
                        <w:sz w:val="24"/>
                        <w:szCs w:val="24"/>
                      </w:rPr>
                    </w:pPr>
                    <w:r>
                      <w:rPr>
                        <w:rFonts w:ascii="宋体" w:eastAsia="宋体" w:hAnsi="宋体" w:hint="eastAsia"/>
                        <w:b/>
                        <w:sz w:val="24"/>
                        <w:szCs w:val="24"/>
                      </w:rPr>
                      <w:t>附图2  具有金融功能的社会保障卡应用实现架构</w:t>
                    </w:r>
                  </w:p>
                </w:txbxContent>
              </v:textbox>
            </v:shape>
            <v:shapetype id="_x0000_t112" coordsize="21600,21600" o:spt="112" path="m,l,21600r21600,l21600,xem2610,nfl2610,21600em18990,nfl18990,21600e">
              <v:stroke joinstyle="miter"/>
              <v:path o:extrusionok="f" gradientshapeok="t" o:connecttype="rect" textboxrect="2610,0,18990,21600"/>
            </v:shapetype>
            <v:shape id="_x0000_s1027" type="#_x0000_t112" style="position:absolute;left:4876;top:9643;width:2529;height:2005" o:regroupid="1" fillcolor="none">
              <v:fill color2="fill darken(118)" rotate="t" method="linear sigma" focus="-50%" type="gradient"/>
              <v:textbox style="mso-next-textbox:#_x0000_s1027">
                <w:txbxContent>
                  <w:p w:rsidR="00CE792F" w:rsidRDefault="00CE792F">
                    <w:pPr>
                      <w:adjustRightInd w:val="0"/>
                      <w:snapToGrid w:val="0"/>
                      <w:spacing w:line="240" w:lineRule="auto"/>
                      <w:ind w:firstLine="0"/>
                      <w:rPr>
                        <w:rFonts w:ascii="黑体" w:eastAsia="黑体"/>
                      </w:rPr>
                    </w:pPr>
                    <w:r>
                      <w:rPr>
                        <w:rFonts w:ascii="黑体" w:eastAsia="黑体" w:hint="eastAsia"/>
                      </w:rPr>
                      <w:t>基于金融功能的</w:t>
                    </w:r>
                  </w:p>
                  <w:p w:rsidR="00CE792F" w:rsidRDefault="00CE792F">
                    <w:pPr>
                      <w:adjustRightInd w:val="0"/>
                      <w:snapToGrid w:val="0"/>
                      <w:spacing w:line="240" w:lineRule="auto"/>
                      <w:ind w:firstLine="0"/>
                      <w:rPr>
                        <w:rFonts w:ascii="黑体" w:eastAsia="黑体"/>
                      </w:rPr>
                    </w:pPr>
                    <w:r>
                      <w:rPr>
                        <w:rFonts w:ascii="黑体" w:eastAsia="黑体" w:hint="eastAsia"/>
                      </w:rPr>
                      <w:t>社保应用：</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养老金领取</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社会保险费缴纳</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医疗费用个人自</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费部分结算等</w:t>
                    </w:r>
                    <w:r>
                      <w:rPr>
                        <w:rFonts w:ascii="黑体" w:eastAsia="黑体"/>
                      </w:rPr>
                      <w:t>…</w:t>
                    </w:r>
                  </w:p>
                  <w:p w:rsidR="00CE792F" w:rsidRDefault="00CE792F">
                    <w:pPr>
                      <w:adjustRightInd w:val="0"/>
                      <w:snapToGrid w:val="0"/>
                      <w:spacing w:line="240" w:lineRule="auto"/>
                      <w:ind w:firstLineChars="100" w:firstLine="210"/>
                      <w:rPr>
                        <w:rFonts w:ascii="黑体" w:eastAsia="黑体"/>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left:4993;top:9151;width:354;height:477" o:regroupid="1"/>
            <v:rect id="_x0000_s1029" style="position:absolute;left:2074;top:11980;width:8156;height:1940" o:regroupid="2" fillcolor="#b6dde8"/>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2104;top:8602;width:3883;height:553" o:regroupid="2" fillcolor="none">
              <v:fill color2="fill darken(118)" rotate="t" method="linear sigma" focus="100%" type="gradient"/>
              <v:textbox style="mso-next-textbox:#_x0000_s1030">
                <w:txbxContent>
                  <w:p w:rsidR="00CE792F" w:rsidRDefault="00CE792F">
                    <w:pPr>
                      <w:spacing w:line="240" w:lineRule="auto"/>
                      <w:ind w:firstLine="0"/>
                      <w:jc w:val="center"/>
                      <w:rPr>
                        <w:rFonts w:ascii="宋体" w:eastAsia="宋体" w:hAnsi="宋体"/>
                        <w:b/>
                      </w:rPr>
                    </w:pPr>
                    <w:r>
                      <w:rPr>
                        <w:rFonts w:ascii="宋体" w:eastAsia="宋体" w:hAnsi="宋体" w:hint="eastAsia"/>
                        <w:b/>
                      </w:rPr>
                      <w:t>人力资源社会保障应用系统</w:t>
                    </w:r>
                  </w:p>
                </w:txbxContent>
              </v:textbox>
            </v:shape>
            <v:shape id="_x0000_s1031" type="#_x0000_t67" style="position:absolute;left:2755;top:9151;width:343;height:477" o:regroupid="2"/>
            <v:shape id="_x0000_s1032" type="#_x0000_t112" style="position:absolute;left:2074;top:9643;width:2530;height:2005" o:regroupid="2" fillcolor="none">
              <v:fill color2="fill darken(118)" rotate="t" method="linear sigma" focus="-50%" type="gradient"/>
              <v:textbox style="mso-next-textbox:#_x0000_s1032">
                <w:txbxContent>
                  <w:p w:rsidR="00CE792F" w:rsidRDefault="00CE792F">
                    <w:pPr>
                      <w:adjustRightInd w:val="0"/>
                      <w:snapToGrid w:val="0"/>
                      <w:spacing w:line="240" w:lineRule="auto"/>
                      <w:ind w:firstLine="0"/>
                      <w:rPr>
                        <w:rFonts w:ascii="黑体" w:eastAsia="黑体"/>
                      </w:rPr>
                    </w:pPr>
                    <w:r>
                      <w:rPr>
                        <w:rFonts w:ascii="黑体" w:eastAsia="黑体" w:hint="eastAsia"/>
                      </w:rPr>
                      <w:t>与金融功能无关的</w:t>
                    </w:r>
                  </w:p>
                  <w:p w:rsidR="00CE792F" w:rsidRDefault="00CE792F">
                    <w:pPr>
                      <w:adjustRightInd w:val="0"/>
                      <w:snapToGrid w:val="0"/>
                      <w:spacing w:line="240" w:lineRule="auto"/>
                      <w:ind w:firstLine="0"/>
                      <w:rPr>
                        <w:rFonts w:ascii="黑体" w:eastAsia="黑体"/>
                      </w:rPr>
                    </w:pPr>
                    <w:r>
                      <w:rPr>
                        <w:rFonts w:ascii="黑体" w:eastAsia="黑体" w:hint="eastAsia"/>
                      </w:rPr>
                      <w:t>社保应用：</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参保登记</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待遇查询</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医疗费用即时结</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算等</w:t>
                    </w:r>
                    <w:r>
                      <w:rPr>
                        <w:rFonts w:ascii="黑体" w:eastAsia="黑体"/>
                      </w:rPr>
                      <w:t>…</w:t>
                    </w:r>
                  </w:p>
                  <w:p w:rsidR="00CE792F" w:rsidRDefault="00CE792F">
                    <w:pPr>
                      <w:adjustRightInd w:val="0"/>
                      <w:snapToGrid w:val="0"/>
                      <w:spacing w:line="240" w:lineRule="auto"/>
                      <w:ind w:firstLineChars="100" w:firstLine="210"/>
                      <w:rPr>
                        <w:rFonts w:ascii="黑体" w:eastAsia="黑体"/>
                      </w:rP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position:absolute;left:3671;top:11648;width:365;height:531" o:regroupid="2"/>
            <v:shape id="_x0000_s1034" type="#_x0000_t68" style="position:absolute;left:6928;top:11648;width:365;height:531" o:regroupid="2"/>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5" type="#_x0000_t84" style="position:absolute;left:2475;top:12179;width:3387;height:1130" o:regroupid="2">
              <v:textbox style="mso-next-textbox:#_x0000_s1035">
                <w:txbxContent>
                  <w:p w:rsidR="00CE792F" w:rsidRDefault="00CE792F">
                    <w:pPr>
                      <w:adjustRightInd w:val="0"/>
                      <w:snapToGrid w:val="0"/>
                      <w:spacing w:line="240" w:lineRule="auto"/>
                      <w:ind w:firstLine="0"/>
                      <w:rPr>
                        <w:rFonts w:ascii="宋体" w:eastAsia="宋体" w:hAnsi="宋体"/>
                      </w:rPr>
                    </w:pPr>
                    <w:r>
                      <w:rPr>
                        <w:rFonts w:ascii="宋体" w:eastAsia="宋体" w:hAnsi="宋体" w:hint="eastAsia"/>
                      </w:rPr>
                      <w:t>信息记录、信息查询、业务办理等社会保障卡基本功能</w:t>
                    </w:r>
                  </w:p>
                </w:txbxContent>
              </v:textbox>
            </v:shape>
            <v:shape id="_x0000_s1036" type="#_x0000_t84" style="position:absolute;left:6547;top:12179;width:3220;height:1128" o:regroupid="2">
              <v:textbox style="mso-next-textbox:#_x0000_s1036">
                <w:txbxContent>
                  <w:p w:rsidR="00CE792F" w:rsidRDefault="00CE792F">
                    <w:pPr>
                      <w:adjustRightInd w:val="0"/>
                      <w:snapToGrid w:val="0"/>
                      <w:spacing w:line="240" w:lineRule="auto"/>
                      <w:ind w:firstLine="0"/>
                      <w:rPr>
                        <w:rFonts w:ascii="宋体" w:eastAsia="宋体" w:hAnsi="宋体"/>
                      </w:rPr>
                    </w:pPr>
                    <w:r>
                      <w:rPr>
                        <w:rFonts w:ascii="宋体" w:eastAsia="宋体" w:hAnsi="宋体" w:hint="eastAsia"/>
                      </w:rPr>
                      <w:t>消费、转账、结算、存取现金等金融功能</w:t>
                    </w:r>
                  </w:p>
                </w:txbxContent>
              </v:textbox>
            </v:shape>
            <v:shape id="_x0000_s1038" type="#_x0000_t202" style="position:absolute;left:4456;top:13409;width:3354;height:410" o:regroupid="2" fillcolor="#b6dde8" stroked="f" strokecolor="white">
              <v:textbox style="mso-next-textbox:#_x0000_s1038">
                <w:txbxContent>
                  <w:p w:rsidR="00CE792F" w:rsidRDefault="00CE792F">
                    <w:pPr>
                      <w:adjustRightInd w:val="0"/>
                      <w:snapToGrid w:val="0"/>
                      <w:spacing w:line="240" w:lineRule="auto"/>
                      <w:ind w:firstLine="0"/>
                      <w:jc w:val="center"/>
                      <w:rPr>
                        <w:rFonts w:ascii="宋体" w:eastAsia="宋体" w:hAnsi="宋体"/>
                        <w:b/>
                        <w:szCs w:val="21"/>
                      </w:rPr>
                    </w:pPr>
                    <w:r>
                      <w:rPr>
                        <w:rFonts w:ascii="宋体" w:eastAsia="宋体" w:hAnsi="宋体" w:hint="eastAsia"/>
                        <w:b/>
                        <w:szCs w:val="21"/>
                      </w:rPr>
                      <w:t>具有金融功能的社会保障卡</w:t>
                    </w:r>
                  </w:p>
                </w:txbxContent>
              </v:textbox>
            </v:shape>
            <v:shape id="_x0000_s1067" type="#_x0000_t112" style="position:absolute;left:7685;top:9643;width:2530;height:2005" fillcolor="none">
              <v:fill color2="fill darken(118)" rotate="t" method="linear sigma" focus="-50%" type="gradient"/>
              <v:textbox style="mso-next-textbox:#_x0000_s1067">
                <w:txbxContent>
                  <w:p w:rsidR="00CE792F" w:rsidRDefault="00CE792F">
                    <w:pPr>
                      <w:adjustRightInd w:val="0"/>
                      <w:snapToGrid w:val="0"/>
                      <w:spacing w:line="240" w:lineRule="auto"/>
                      <w:ind w:firstLine="0"/>
                      <w:rPr>
                        <w:rFonts w:ascii="黑体" w:eastAsia="黑体"/>
                      </w:rPr>
                    </w:pPr>
                    <w:r>
                      <w:rPr>
                        <w:rFonts w:ascii="黑体" w:eastAsia="黑体" w:hint="eastAsia"/>
                      </w:rPr>
                      <w:t>金融应用：</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现金存取</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余额查询</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转账汇款</w:t>
                    </w:r>
                  </w:p>
                  <w:p w:rsidR="00CE792F" w:rsidRDefault="00CE792F">
                    <w:pPr>
                      <w:adjustRightInd w:val="0"/>
                      <w:snapToGrid w:val="0"/>
                      <w:spacing w:line="240" w:lineRule="auto"/>
                      <w:ind w:firstLineChars="100" w:firstLine="210"/>
                      <w:rPr>
                        <w:rFonts w:ascii="黑体" w:eastAsia="黑体"/>
                      </w:rPr>
                    </w:pPr>
                    <w:r>
                      <w:rPr>
                        <w:rFonts w:ascii="黑体" w:eastAsia="黑体" w:hint="eastAsia"/>
                      </w:rPr>
                      <w:t>持卡消费等</w:t>
                    </w:r>
                    <w:r>
                      <w:rPr>
                        <w:rFonts w:ascii="黑体" w:eastAsia="黑体"/>
                      </w:rPr>
                      <w:t>…</w:t>
                    </w:r>
                  </w:p>
                </w:txbxContent>
              </v:textbox>
            </v:shape>
            <v:shape id="_x0000_s1068" type="#_x0000_t176" style="position:absolute;left:6272;top:8602;width:3883;height:553" fillcolor="none">
              <v:fill color2="fill darken(118)" rotate="t" method="linear sigma" focus="100%" type="gradient"/>
              <v:textbox style="mso-next-textbox:#_x0000_s1068">
                <w:txbxContent>
                  <w:p w:rsidR="00CE792F" w:rsidRDefault="00CE792F">
                    <w:pPr>
                      <w:spacing w:line="240" w:lineRule="auto"/>
                      <w:ind w:firstLine="0"/>
                      <w:jc w:val="center"/>
                      <w:rPr>
                        <w:rFonts w:ascii="宋体" w:eastAsia="宋体" w:hAnsi="宋体"/>
                        <w:b/>
                      </w:rPr>
                    </w:pPr>
                    <w:r>
                      <w:rPr>
                        <w:rFonts w:ascii="宋体" w:eastAsia="宋体" w:hAnsi="宋体" w:hint="eastAsia"/>
                        <w:b/>
                      </w:rPr>
                      <w:t>银行应用系统</w:t>
                    </w:r>
                  </w:p>
                </w:txbxContent>
              </v:textbox>
            </v:shape>
            <v:shape id="_x0000_s1069" type="#_x0000_t67" style="position:absolute;left:6919;top:9151;width:354;height:477"/>
            <v:shape id="_x0000_s1070" type="#_x0000_t67" style="position:absolute;left:9093;top:9151;width:354;height:477"/>
            <v:shape id="_x0000_s1071" type="#_x0000_t68" style="position:absolute;left:9025;top:11648;width:365;height:531"/>
          </v:group>
        </w:pict>
      </w: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0"/>
        <w:rPr>
          <w:rFonts w:ascii="仿宋_GB2312" w:eastAsia="仿宋_GB2312" w:hAnsi="Arial" w:cs="Arial"/>
          <w:color w:val="000000"/>
          <w:kern w:val="0"/>
          <w:sz w:val="30"/>
          <w:szCs w:val="30"/>
        </w:rPr>
      </w:pPr>
    </w:p>
    <w:p w:rsidR="00CE792F" w:rsidRDefault="00CE792F">
      <w:pPr>
        <w:widowControl/>
        <w:wordWrap w:val="0"/>
        <w:adjustRightInd w:val="0"/>
        <w:snapToGrid w:val="0"/>
        <w:ind w:firstLineChars="67" w:firstLine="141"/>
        <w:rPr>
          <w:rFonts w:ascii="仿宋_GB2312" w:eastAsia="仿宋_GB2312" w:hAnsi="Arial" w:cs="Arial"/>
          <w:color w:val="000000"/>
          <w:kern w:val="0"/>
          <w:szCs w:val="21"/>
        </w:rPr>
      </w:pPr>
    </w:p>
    <w:p w:rsidR="00CE792F" w:rsidRDefault="00CE792F">
      <w:pPr>
        <w:ind w:firstLine="0"/>
        <w:jc w:val="left"/>
        <w:rPr>
          <w:rFonts w:ascii="宋体" w:hAnsi="宋体"/>
          <w:sz w:val="24"/>
          <w:szCs w:val="24"/>
        </w:rPr>
      </w:pPr>
    </w:p>
    <w:p w:rsidR="00CE792F" w:rsidRDefault="00CE792F">
      <w:pPr>
        <w:ind w:firstLine="0"/>
        <w:jc w:val="left"/>
        <w:rPr>
          <w:rFonts w:ascii="宋体" w:hAnsi="宋体"/>
          <w:sz w:val="24"/>
          <w:szCs w:val="24"/>
        </w:rPr>
      </w:pPr>
    </w:p>
    <w:p w:rsidR="00CE792F" w:rsidRDefault="00CE792F">
      <w:pPr>
        <w:ind w:firstLine="0"/>
        <w:jc w:val="left"/>
        <w:rPr>
          <w:rFonts w:ascii="宋体" w:hAnsi="宋体"/>
          <w:sz w:val="24"/>
          <w:szCs w:val="24"/>
        </w:rPr>
      </w:pPr>
    </w:p>
    <w:p w:rsidR="00CE792F" w:rsidRDefault="00CE792F">
      <w:pPr>
        <w:ind w:firstLine="0"/>
        <w:rPr>
          <w:rFonts w:ascii="宋体" w:hAnsi="宋体"/>
          <w:sz w:val="24"/>
          <w:szCs w:val="24"/>
        </w:rPr>
      </w:pPr>
    </w:p>
    <w:p w:rsidR="00CE792F" w:rsidRDefault="00CE792F">
      <w:pPr>
        <w:ind w:firstLine="0"/>
        <w:rPr>
          <w:rFonts w:ascii="宋体" w:hAnsi="宋体"/>
          <w:sz w:val="24"/>
          <w:szCs w:val="24"/>
        </w:rPr>
      </w:pPr>
    </w:p>
    <w:sectPr w:rsidR="00CE792F" w:rsidSect="0040294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85E" w:rsidRDefault="0093585E">
      <w:pPr>
        <w:spacing w:line="240" w:lineRule="auto"/>
      </w:pPr>
      <w:r>
        <w:separator/>
      </w:r>
    </w:p>
  </w:endnote>
  <w:endnote w:type="continuationSeparator" w:id="0">
    <w:p w:rsidR="0093585E" w:rsidRDefault="009358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2F" w:rsidRDefault="006A1904">
    <w:pPr>
      <w:pStyle w:val="a6"/>
      <w:jc w:val="center"/>
    </w:pPr>
    <w:fldSimple w:instr=" PAGE   \* MERGEFORMAT ">
      <w:r w:rsidR="00BE39CC" w:rsidRPr="00BE39CC">
        <w:rPr>
          <w:noProof/>
          <w:lang w:val="zh-CN"/>
        </w:rPr>
        <w:t>1</w:t>
      </w:r>
    </w:fldSimple>
  </w:p>
  <w:p w:rsidR="00CE792F" w:rsidRDefault="00CE79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85E" w:rsidRDefault="0093585E">
      <w:pPr>
        <w:spacing w:line="240" w:lineRule="auto"/>
      </w:pPr>
      <w:r>
        <w:separator/>
      </w:r>
    </w:p>
  </w:footnote>
  <w:footnote w:type="continuationSeparator" w:id="0">
    <w:p w:rsidR="0093585E" w:rsidRDefault="009358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2F" w:rsidRDefault="00CE792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space"/>
      <w:lvlText w:val="%1%2　"/>
      <w:lvlJc w:val="left"/>
      <w:pPr>
        <w:ind w:left="0" w:firstLine="0"/>
      </w:pPr>
      <w:rPr>
        <w:rFonts w:ascii="黑体" w:eastAsia="黑体" w:hAnsi="Times New Roman" w:hint="eastAsia"/>
        <w:b w:val="0"/>
        <w:i w:val="0"/>
        <w:sz w:val="21"/>
      </w:rPr>
    </w:lvl>
    <w:lvl w:ilvl="2">
      <w:start w:val="1"/>
      <w:numFmt w:val="decimal"/>
      <w:suff w:val="space"/>
      <w:lvlText w:val="%1%2.%3　"/>
      <w:lvlJc w:val="left"/>
      <w:pPr>
        <w:ind w:left="426" w:firstLine="0"/>
      </w:pPr>
      <w:rPr>
        <w:rFonts w:ascii="黑体" w:eastAsia="黑体" w:hAnsi="Times New Roman" w:hint="eastAsia"/>
        <w:b w:val="0"/>
        <w:i w:val="0"/>
        <w:sz w:val="21"/>
      </w:rPr>
    </w:lvl>
    <w:lvl w:ilvl="3">
      <w:start w:val="1"/>
      <w:numFmt w:val="decimal"/>
      <w:suff w:val="space"/>
      <w:lvlText w:val="%1%2.%3.%4　"/>
      <w:lvlJc w:val="left"/>
      <w:pPr>
        <w:ind w:left="0" w:firstLine="0"/>
      </w:pPr>
      <w:rPr>
        <w:rFonts w:ascii="黑体" w:eastAsia="黑体" w:hAnsi="Times New Roman" w:hint="eastAsia"/>
        <w:b w:val="0"/>
        <w:i w:val="0"/>
        <w:sz w:val="21"/>
      </w:rPr>
    </w:lvl>
    <w:lvl w:ilvl="4">
      <w:start w:val="1"/>
      <w:numFmt w:val="lowerLetter"/>
      <w:lvlText w:val="%5)"/>
      <w:lvlJc w:val="left"/>
      <w:pPr>
        <w:ind w:left="0" w:firstLine="0"/>
      </w:pPr>
      <w:rPr>
        <w:b w:val="0"/>
        <w:i w:val="0"/>
        <w:sz w:val="21"/>
      </w:rPr>
    </w:lvl>
    <w:lvl w:ilvl="5">
      <w:start w:val="1"/>
      <w:numFmt w:val="lowerLetter"/>
      <w:lvlText w:val="%6)"/>
      <w:lvlJc w:val="left"/>
      <w:pPr>
        <w:ind w:left="0" w:firstLine="0"/>
      </w:pPr>
      <w:rPr>
        <w:b w:val="0"/>
        <w:i w:val="0"/>
        <w:sz w:val="21"/>
      </w:rPr>
    </w:lvl>
    <w:lvl w:ilvl="6">
      <w:start w:val="1"/>
      <w:numFmt w:val="decimal"/>
      <w:suff w:val="space"/>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nsid w:val="09D61258"/>
    <w:multiLevelType w:val="hybridMultilevel"/>
    <w:tmpl w:val="E5163E60"/>
    <w:lvl w:ilvl="0" w:tplc="0409000F">
      <w:start w:val="1"/>
      <w:numFmt w:val="decimal"/>
      <w:lvlText w:val="%1."/>
      <w:lvlJc w:val="left"/>
      <w:pPr>
        <w:tabs>
          <w:tab w:val="num" w:pos="779"/>
        </w:tabs>
        <w:ind w:left="779" w:hanging="420"/>
      </w:p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2">
    <w:nsid w:val="7EF55333"/>
    <w:multiLevelType w:val="multilevel"/>
    <w:tmpl w:val="05D4FC2E"/>
    <w:lvl w:ilvl="0">
      <w:start w:val="1"/>
      <w:numFmt w:val="decimal"/>
      <w:pStyle w:val="1"/>
      <w:lvlText w:val="%1"/>
      <w:lvlJc w:val="left"/>
      <w:pPr>
        <w:tabs>
          <w:tab w:val="num" w:pos="432"/>
        </w:tabs>
        <w:ind w:left="432" w:hanging="432"/>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pStyle w:val="2"/>
      <w:lvlText w:val="%1.%2"/>
      <w:lvlJc w:val="left"/>
      <w:pPr>
        <w:tabs>
          <w:tab w:val="num" w:pos="860"/>
        </w:tabs>
        <w:ind w:left="860" w:hanging="576"/>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3"/>
      <w:lvlText w:val="%1.%2.%3"/>
      <w:lvlJc w:val="left"/>
      <w:pPr>
        <w:tabs>
          <w:tab w:val="num" w:pos="862"/>
        </w:tabs>
        <w:ind w:left="862" w:hanging="720"/>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0A2"/>
    <w:rsid w:val="00026A6B"/>
    <w:rsid w:val="00027540"/>
    <w:rsid w:val="001778B2"/>
    <w:rsid w:val="00187DAF"/>
    <w:rsid w:val="001D02B0"/>
    <w:rsid w:val="002B4201"/>
    <w:rsid w:val="00402945"/>
    <w:rsid w:val="00430938"/>
    <w:rsid w:val="004903AD"/>
    <w:rsid w:val="00536006"/>
    <w:rsid w:val="005806C1"/>
    <w:rsid w:val="005B5A79"/>
    <w:rsid w:val="006036A0"/>
    <w:rsid w:val="00630413"/>
    <w:rsid w:val="006A1904"/>
    <w:rsid w:val="006F662F"/>
    <w:rsid w:val="00722CF3"/>
    <w:rsid w:val="007D1B1C"/>
    <w:rsid w:val="008C43FD"/>
    <w:rsid w:val="0093585E"/>
    <w:rsid w:val="009F7C6E"/>
    <w:rsid w:val="00B32150"/>
    <w:rsid w:val="00B84A0E"/>
    <w:rsid w:val="00BB6CFC"/>
    <w:rsid w:val="00BC00D2"/>
    <w:rsid w:val="00BE39CC"/>
    <w:rsid w:val="00C51509"/>
    <w:rsid w:val="00C92E2F"/>
    <w:rsid w:val="00CE792F"/>
    <w:rsid w:val="00D340A2"/>
    <w:rsid w:val="00D61CB8"/>
    <w:rsid w:val="00D9392E"/>
    <w:rsid w:val="00E8515D"/>
    <w:rsid w:val="00EB4F52"/>
    <w:rsid w:val="00F113AC"/>
    <w:rsid w:val="00F45A83"/>
    <w:rsid w:val="00F53EC2"/>
    <w:rsid w:val="00F82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华文行楷"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45"/>
    <w:pPr>
      <w:widowControl w:val="0"/>
      <w:spacing w:line="360" w:lineRule="auto"/>
      <w:ind w:firstLine="601"/>
      <w:jc w:val="both"/>
    </w:pPr>
    <w:rPr>
      <w:kern w:val="2"/>
      <w:sz w:val="21"/>
      <w:szCs w:val="22"/>
    </w:rPr>
  </w:style>
  <w:style w:type="paragraph" w:styleId="1">
    <w:name w:val="heading 1"/>
    <w:aliases w:val="标准标题 1"/>
    <w:basedOn w:val="a"/>
    <w:next w:val="a"/>
    <w:qFormat/>
    <w:rsid w:val="00402945"/>
    <w:pPr>
      <w:keepNext/>
      <w:numPr>
        <w:numId w:val="1"/>
      </w:numPr>
      <w:spacing w:before="340" w:after="330" w:line="576" w:lineRule="auto"/>
      <w:outlineLvl w:val="0"/>
    </w:pPr>
    <w:rPr>
      <w:rFonts w:ascii="Times New Roman" w:eastAsia="宋体" w:hAnsi="Times New Roman"/>
      <w:b/>
      <w:kern w:val="44"/>
      <w:sz w:val="32"/>
      <w:szCs w:val="20"/>
    </w:rPr>
  </w:style>
  <w:style w:type="paragraph" w:styleId="2">
    <w:name w:val="heading 2"/>
    <w:aliases w:val="H2,H2 Char"/>
    <w:basedOn w:val="a"/>
    <w:next w:val="a"/>
    <w:qFormat/>
    <w:rsid w:val="00402945"/>
    <w:pPr>
      <w:keepNext/>
      <w:keepLines/>
      <w:numPr>
        <w:ilvl w:val="1"/>
        <w:numId w:val="1"/>
      </w:numPr>
      <w:spacing w:before="260" w:after="260" w:line="415" w:lineRule="auto"/>
      <w:outlineLvl w:val="1"/>
    </w:pPr>
    <w:rPr>
      <w:rFonts w:ascii="Arial" w:eastAsia="黑体" w:hAnsi="Arial"/>
      <w:b/>
      <w:sz w:val="28"/>
      <w:szCs w:val="20"/>
    </w:rPr>
  </w:style>
  <w:style w:type="paragraph" w:styleId="3">
    <w:name w:val="heading 3"/>
    <w:basedOn w:val="a"/>
    <w:next w:val="a"/>
    <w:qFormat/>
    <w:rsid w:val="00402945"/>
    <w:pPr>
      <w:keepNext/>
      <w:keepLines/>
      <w:numPr>
        <w:ilvl w:val="2"/>
        <w:numId w:val="1"/>
      </w:numPr>
      <w:spacing w:before="260" w:after="260" w:line="415" w:lineRule="auto"/>
      <w:outlineLvl w:val="2"/>
    </w:pPr>
    <w:rPr>
      <w:rFonts w:ascii="Times New Roman" w:eastAsia="宋体" w:hAnsi="Times New Roman"/>
      <w:b/>
      <w:sz w:val="24"/>
      <w:szCs w:val="20"/>
    </w:rPr>
  </w:style>
  <w:style w:type="paragraph" w:styleId="4">
    <w:name w:val="heading 4"/>
    <w:basedOn w:val="a"/>
    <w:next w:val="a"/>
    <w:qFormat/>
    <w:rsid w:val="00402945"/>
    <w:pPr>
      <w:keepNext/>
      <w:keepLines/>
      <w:numPr>
        <w:ilvl w:val="3"/>
        <w:numId w:val="1"/>
      </w:numPr>
      <w:spacing w:before="280" w:after="290" w:line="374" w:lineRule="auto"/>
      <w:outlineLvl w:val="3"/>
    </w:pPr>
    <w:rPr>
      <w:rFonts w:ascii="Arial" w:eastAsia="宋体" w:hAnsi="Arial"/>
      <w:b/>
      <w:sz w:val="24"/>
      <w:szCs w:val="20"/>
    </w:rPr>
  </w:style>
  <w:style w:type="paragraph" w:styleId="5">
    <w:name w:val="heading 5"/>
    <w:basedOn w:val="a"/>
    <w:next w:val="a"/>
    <w:qFormat/>
    <w:rsid w:val="00402945"/>
    <w:pPr>
      <w:keepNext/>
      <w:keepLines/>
      <w:numPr>
        <w:ilvl w:val="4"/>
        <w:numId w:val="1"/>
      </w:numPr>
      <w:spacing w:before="280" w:after="290" w:line="374" w:lineRule="auto"/>
      <w:outlineLvl w:val="4"/>
    </w:pPr>
    <w:rPr>
      <w:rFonts w:eastAsia="宋体"/>
      <w:b/>
      <w:sz w:val="24"/>
      <w:szCs w:val="20"/>
    </w:rPr>
  </w:style>
  <w:style w:type="paragraph" w:styleId="6">
    <w:name w:val="heading 6"/>
    <w:basedOn w:val="a"/>
    <w:next w:val="a"/>
    <w:qFormat/>
    <w:rsid w:val="00402945"/>
    <w:pPr>
      <w:keepNext/>
      <w:keepLines/>
      <w:numPr>
        <w:ilvl w:val="5"/>
        <w:numId w:val="1"/>
      </w:numPr>
      <w:spacing w:before="240" w:after="64" w:line="319" w:lineRule="auto"/>
      <w:outlineLvl w:val="5"/>
    </w:pPr>
    <w:rPr>
      <w:rFonts w:ascii="Cambria" w:eastAsia="宋体" w:hAnsi="Cambria"/>
      <w:b/>
      <w:sz w:val="24"/>
      <w:szCs w:val="20"/>
    </w:rPr>
  </w:style>
  <w:style w:type="paragraph" w:styleId="7">
    <w:name w:val="heading 7"/>
    <w:basedOn w:val="a"/>
    <w:next w:val="a"/>
    <w:qFormat/>
    <w:rsid w:val="00402945"/>
    <w:pPr>
      <w:keepNext/>
      <w:keepLines/>
      <w:numPr>
        <w:ilvl w:val="6"/>
        <w:numId w:val="1"/>
      </w:numPr>
      <w:spacing w:before="240" w:after="64" w:line="319" w:lineRule="auto"/>
      <w:outlineLvl w:val="6"/>
    </w:pPr>
    <w:rPr>
      <w:rFonts w:eastAsia="宋体"/>
      <w:b/>
      <w:sz w:val="24"/>
      <w:szCs w:val="20"/>
    </w:rPr>
  </w:style>
  <w:style w:type="paragraph" w:styleId="8">
    <w:name w:val="heading 8"/>
    <w:basedOn w:val="a"/>
    <w:next w:val="a"/>
    <w:qFormat/>
    <w:rsid w:val="00402945"/>
    <w:pPr>
      <w:keepNext/>
      <w:keepLines/>
      <w:numPr>
        <w:ilvl w:val="7"/>
        <w:numId w:val="1"/>
      </w:numPr>
      <w:spacing w:before="240" w:after="64" w:line="319" w:lineRule="auto"/>
      <w:outlineLvl w:val="7"/>
    </w:pPr>
    <w:rPr>
      <w:rFonts w:ascii="Cambria" w:eastAsia="宋体" w:hAnsi="Cambria"/>
      <w:sz w:val="24"/>
      <w:szCs w:val="20"/>
    </w:rPr>
  </w:style>
  <w:style w:type="paragraph" w:styleId="9">
    <w:name w:val="heading 9"/>
    <w:basedOn w:val="a"/>
    <w:next w:val="a"/>
    <w:qFormat/>
    <w:rsid w:val="00402945"/>
    <w:pPr>
      <w:keepNext/>
      <w:keepLines/>
      <w:numPr>
        <w:ilvl w:val="8"/>
        <w:numId w:val="1"/>
      </w:numPr>
      <w:spacing w:before="240" w:after="64" w:line="319" w:lineRule="auto"/>
      <w:outlineLvl w:val="8"/>
    </w:pPr>
    <w:rPr>
      <w:rFonts w:ascii="Cambria" w:eastAsia="宋体" w:hAnsi="Cambr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02945"/>
    <w:pPr>
      <w:widowControl/>
      <w:spacing w:line="240" w:lineRule="auto"/>
      <w:ind w:firstLine="0"/>
      <w:jc w:val="left"/>
    </w:pPr>
    <w:rPr>
      <w:rFonts w:ascii="宋体" w:eastAsia="宋体" w:hAnsi="宋体" w:cs="宋体"/>
      <w:color w:val="000000"/>
      <w:kern w:val="0"/>
      <w:sz w:val="24"/>
      <w:szCs w:val="24"/>
    </w:rPr>
  </w:style>
  <w:style w:type="paragraph" w:styleId="a4">
    <w:name w:val="List Paragraph"/>
    <w:basedOn w:val="a"/>
    <w:qFormat/>
    <w:rsid w:val="00402945"/>
    <w:pPr>
      <w:ind w:firstLineChars="200" w:firstLine="420"/>
    </w:pPr>
  </w:style>
  <w:style w:type="paragraph" w:styleId="a5">
    <w:name w:val="header"/>
    <w:basedOn w:val="a"/>
    <w:semiHidden/>
    <w:unhideWhenUsed/>
    <w:rsid w:val="0040294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Char2">
    <w:name w:val="Char Char2"/>
    <w:semiHidden/>
    <w:rsid w:val="00402945"/>
    <w:rPr>
      <w:sz w:val="18"/>
      <w:szCs w:val="18"/>
    </w:rPr>
  </w:style>
  <w:style w:type="paragraph" w:styleId="a6">
    <w:name w:val="footer"/>
    <w:basedOn w:val="a"/>
    <w:semiHidden/>
    <w:unhideWhenUsed/>
    <w:rsid w:val="00402945"/>
    <w:pPr>
      <w:tabs>
        <w:tab w:val="center" w:pos="4153"/>
        <w:tab w:val="right" w:pos="8306"/>
      </w:tabs>
      <w:snapToGrid w:val="0"/>
      <w:spacing w:line="240" w:lineRule="auto"/>
      <w:jc w:val="left"/>
    </w:pPr>
    <w:rPr>
      <w:sz w:val="18"/>
      <w:szCs w:val="18"/>
    </w:rPr>
  </w:style>
  <w:style w:type="character" w:customStyle="1" w:styleId="CharChar1">
    <w:name w:val="Char Char1"/>
    <w:rsid w:val="00402945"/>
    <w:rPr>
      <w:sz w:val="18"/>
      <w:szCs w:val="18"/>
    </w:rPr>
  </w:style>
  <w:style w:type="character" w:customStyle="1" w:styleId="1CharChar">
    <w:name w:val="标准标题 1 Char Char"/>
    <w:rsid w:val="00402945"/>
    <w:rPr>
      <w:rFonts w:ascii="Times New Roman" w:eastAsia="宋体" w:hAnsi="Times New Roman" w:cs="Times New Roman"/>
      <w:b/>
      <w:kern w:val="44"/>
      <w:sz w:val="32"/>
      <w:szCs w:val="20"/>
    </w:rPr>
  </w:style>
  <w:style w:type="character" w:customStyle="1" w:styleId="H2Char1">
    <w:name w:val="H2 Char1"/>
    <w:aliases w:val="H2 Char Char Char"/>
    <w:rsid w:val="00402945"/>
    <w:rPr>
      <w:rFonts w:ascii="Arial" w:eastAsia="黑体" w:hAnsi="Arial" w:cs="Times New Roman"/>
      <w:b/>
      <w:sz w:val="28"/>
      <w:szCs w:val="20"/>
    </w:rPr>
  </w:style>
  <w:style w:type="character" w:customStyle="1" w:styleId="CharChar9">
    <w:name w:val="Char Char9"/>
    <w:rsid w:val="00402945"/>
    <w:rPr>
      <w:rFonts w:ascii="Times New Roman" w:eastAsia="宋体" w:hAnsi="Times New Roman" w:cs="Times New Roman"/>
      <w:b/>
      <w:sz w:val="24"/>
      <w:szCs w:val="20"/>
    </w:rPr>
  </w:style>
  <w:style w:type="character" w:customStyle="1" w:styleId="CharChar8">
    <w:name w:val="Char Char8"/>
    <w:rsid w:val="00402945"/>
    <w:rPr>
      <w:rFonts w:ascii="Arial" w:eastAsia="宋体" w:hAnsi="Arial" w:cs="Times New Roman"/>
      <w:b/>
      <w:sz w:val="24"/>
      <w:szCs w:val="20"/>
    </w:rPr>
  </w:style>
  <w:style w:type="character" w:customStyle="1" w:styleId="CharChar7">
    <w:name w:val="Char Char7"/>
    <w:rsid w:val="00402945"/>
    <w:rPr>
      <w:rFonts w:ascii="Calibri" w:eastAsia="宋体" w:hAnsi="Calibri" w:cs="Times New Roman"/>
      <w:b/>
      <w:sz w:val="24"/>
      <w:szCs w:val="20"/>
    </w:rPr>
  </w:style>
  <w:style w:type="character" w:customStyle="1" w:styleId="CharChar6">
    <w:name w:val="Char Char6"/>
    <w:rsid w:val="00402945"/>
    <w:rPr>
      <w:rFonts w:ascii="Cambria" w:eastAsia="宋体" w:hAnsi="Cambria" w:cs="Times New Roman"/>
      <w:b/>
      <w:sz w:val="24"/>
      <w:szCs w:val="20"/>
    </w:rPr>
  </w:style>
  <w:style w:type="character" w:customStyle="1" w:styleId="CharChar5">
    <w:name w:val="Char Char5"/>
    <w:rsid w:val="00402945"/>
    <w:rPr>
      <w:rFonts w:ascii="Calibri" w:eastAsia="宋体" w:hAnsi="Calibri" w:cs="Times New Roman"/>
      <w:b/>
      <w:sz w:val="24"/>
      <w:szCs w:val="20"/>
    </w:rPr>
  </w:style>
  <w:style w:type="character" w:customStyle="1" w:styleId="CharChar4">
    <w:name w:val="Char Char4"/>
    <w:rsid w:val="00402945"/>
    <w:rPr>
      <w:rFonts w:ascii="Cambria" w:eastAsia="宋体" w:hAnsi="Cambria" w:cs="Times New Roman"/>
      <w:sz w:val="24"/>
      <w:szCs w:val="20"/>
    </w:rPr>
  </w:style>
  <w:style w:type="character" w:customStyle="1" w:styleId="CharChar3">
    <w:name w:val="Char Char3"/>
    <w:rsid w:val="00402945"/>
    <w:rPr>
      <w:rFonts w:ascii="Cambria" w:eastAsia="宋体" w:hAnsi="Cambria" w:cs="Times New Roman"/>
      <w:szCs w:val="20"/>
    </w:rPr>
  </w:style>
  <w:style w:type="paragraph" w:customStyle="1" w:styleId="Char">
    <w:name w:val="标准正文 Char"/>
    <w:basedOn w:val="a"/>
    <w:rsid w:val="00402945"/>
    <w:pPr>
      <w:spacing w:line="240" w:lineRule="auto"/>
      <w:ind w:firstLineChars="171" w:firstLine="359"/>
    </w:pPr>
    <w:rPr>
      <w:rFonts w:ascii="Times New Roman" w:eastAsia="宋体" w:hAnsi="Times New Roman"/>
      <w:szCs w:val="20"/>
    </w:rPr>
  </w:style>
  <w:style w:type="paragraph" w:styleId="a7">
    <w:name w:val="Balloon Text"/>
    <w:basedOn w:val="a"/>
    <w:semiHidden/>
    <w:unhideWhenUsed/>
    <w:rsid w:val="00402945"/>
    <w:pPr>
      <w:spacing w:line="240" w:lineRule="auto"/>
    </w:pPr>
    <w:rPr>
      <w:sz w:val="18"/>
      <w:szCs w:val="18"/>
    </w:rPr>
  </w:style>
  <w:style w:type="character" w:customStyle="1" w:styleId="CharChar">
    <w:name w:val="Char Char"/>
    <w:semiHidden/>
    <w:rsid w:val="00402945"/>
    <w:rPr>
      <w:sz w:val="18"/>
      <w:szCs w:val="18"/>
    </w:rPr>
  </w:style>
  <w:style w:type="paragraph" w:styleId="a8">
    <w:name w:val="caption"/>
    <w:basedOn w:val="a"/>
    <w:next w:val="a"/>
    <w:qFormat/>
    <w:rsid w:val="00402945"/>
    <w:pPr>
      <w:widowControl/>
      <w:tabs>
        <w:tab w:val="left" w:pos="0"/>
      </w:tabs>
      <w:overflowPunct w:val="0"/>
      <w:autoSpaceDE w:val="0"/>
      <w:autoSpaceDN w:val="0"/>
      <w:adjustRightInd w:val="0"/>
      <w:spacing w:line="240" w:lineRule="atLeast"/>
      <w:ind w:firstLine="0"/>
      <w:jc w:val="center"/>
      <w:textAlignment w:val="baseline"/>
    </w:pPr>
    <w:rPr>
      <w:rFonts w:ascii="宋体" w:eastAsia="宋体" w:hAnsi="Times New Roman"/>
      <w:kern w:val="0"/>
      <w:sz w:val="18"/>
      <w:szCs w:val="20"/>
      <w:lang w:val="en-GB"/>
    </w:rPr>
  </w:style>
  <w:style w:type="paragraph" w:styleId="a9">
    <w:name w:val="Body Text Indent"/>
    <w:basedOn w:val="a"/>
    <w:semiHidden/>
    <w:rsid w:val="00402945"/>
    <w:pPr>
      <w:widowControl/>
      <w:wordWrap w:val="0"/>
      <w:adjustRightInd w:val="0"/>
      <w:snapToGrid w:val="0"/>
      <w:ind w:firstLineChars="200" w:firstLine="600"/>
      <w:jc w:val="left"/>
    </w:pPr>
    <w:rPr>
      <w:rFonts w:ascii="仿宋_GB2312" w:eastAsia="仿宋_GB2312" w:hAnsi="Arial" w:cs="Arial"/>
      <w:color w:val="000000"/>
      <w:kern w:val="0"/>
      <w:sz w:val="30"/>
      <w:szCs w:val="30"/>
    </w:rPr>
  </w:style>
  <w:style w:type="character" w:styleId="aa">
    <w:name w:val="annotation reference"/>
    <w:semiHidden/>
    <w:rsid w:val="00402945"/>
    <w:rPr>
      <w:sz w:val="21"/>
      <w:szCs w:val="21"/>
    </w:rPr>
  </w:style>
  <w:style w:type="paragraph" w:styleId="ab">
    <w:name w:val="annotation text"/>
    <w:basedOn w:val="a"/>
    <w:semiHidden/>
    <w:rsid w:val="00402945"/>
    <w:pPr>
      <w:jc w:val="left"/>
    </w:pPr>
  </w:style>
  <w:style w:type="paragraph" w:styleId="ac">
    <w:name w:val="annotation subject"/>
    <w:basedOn w:val="ab"/>
    <w:next w:val="ab"/>
    <w:semiHidden/>
    <w:rsid w:val="004029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917</Words>
  <Characters>5228</Characters>
  <Application>Microsoft Office Word</Application>
  <DocSecurity>0</DocSecurity>
  <Lines>43</Lines>
  <Paragraphs>12</Paragraphs>
  <ScaleCrop>false</ScaleCrop>
  <HeadingPairs>
    <vt:vector size="2" baseType="variant">
      <vt:variant>
        <vt:lpstr>题目</vt:lpstr>
      </vt:variant>
      <vt:variant>
        <vt:i4>1</vt:i4>
      </vt:variant>
    </vt:vector>
  </HeadingPairs>
  <TitlesOfParts>
    <vt:vector size="1" baseType="lpstr">
      <vt:lpstr>附件</vt:lpstr>
    </vt:vector>
  </TitlesOfParts>
  <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ln</cp:lastModifiedBy>
  <cp:revision>7</cp:revision>
  <cp:lastPrinted>2011-07-11T01:17:00Z</cp:lastPrinted>
  <dcterms:created xsi:type="dcterms:W3CDTF">2011-08-09T01:21:00Z</dcterms:created>
  <dcterms:modified xsi:type="dcterms:W3CDTF">2011-12-02T06:12:00Z</dcterms:modified>
</cp:coreProperties>
</file>