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jc w:val="center"/>
        <w:rPr>
          <w:rFonts w:asciiTheme="minorEastAsia" w:hAnsiTheme="minorEastAsia"/>
          <w:color w:val="222222"/>
          <w:sz w:val="28"/>
          <w:szCs w:val="28"/>
        </w:rPr>
      </w:pPr>
    </w:p>
    <w:p>
      <w:pPr>
        <w:spacing w:beforeLines="50"/>
        <w:jc w:val="center"/>
        <w:rPr>
          <w:rFonts w:asciiTheme="minorEastAsia" w:hAnsiTheme="minorEastAsia"/>
          <w:color w:val="222222"/>
          <w:sz w:val="28"/>
          <w:szCs w:val="28"/>
        </w:rPr>
      </w:pPr>
    </w:p>
    <w:p>
      <w:pPr>
        <w:spacing w:beforeLines="50"/>
        <w:jc w:val="center"/>
        <w:rPr>
          <w:rFonts w:asciiTheme="minorEastAsia" w:hAnsiTheme="minorEastAsia"/>
          <w:color w:val="222222"/>
          <w:sz w:val="28"/>
          <w:szCs w:val="28"/>
        </w:rPr>
      </w:pPr>
    </w:p>
    <w:p>
      <w:pPr>
        <w:spacing w:beforeLines="50" w:afterLines="50"/>
        <w:jc w:val="center"/>
        <w:rPr>
          <w:rFonts w:ascii="华文中宋" w:hAnsi="华文中宋" w:eastAsia="华文中宋" w:cs="Times New Roman"/>
          <w:b/>
          <w:sz w:val="52"/>
          <w:szCs w:val="52"/>
        </w:rPr>
      </w:pPr>
      <w:r>
        <w:rPr>
          <w:rFonts w:hint="eastAsia" w:asciiTheme="minorEastAsia" w:hAnsiTheme="minorEastAsia"/>
          <w:color w:val="222222"/>
          <w:sz w:val="28"/>
          <w:szCs w:val="28"/>
        </w:rPr>
        <w:t>　</w:t>
      </w:r>
      <w:r>
        <w:rPr>
          <w:rFonts w:hint="eastAsia" w:ascii="华文中宋" w:hAnsi="华文中宋" w:eastAsia="华文中宋" w:cs="Times New Roman"/>
          <w:b/>
          <w:sz w:val="52"/>
          <w:szCs w:val="52"/>
        </w:rPr>
        <w:t>柳州市战略性新兴产业发展</w:t>
      </w:r>
    </w:p>
    <w:p>
      <w:pPr>
        <w:spacing w:beforeLines="50" w:afterLines="50"/>
        <w:jc w:val="center"/>
        <w:rPr>
          <w:rFonts w:ascii="华文中宋" w:hAnsi="华文中宋" w:eastAsia="华文中宋" w:cs="Times New Roman"/>
          <w:b/>
          <w:sz w:val="52"/>
          <w:szCs w:val="52"/>
        </w:rPr>
      </w:pPr>
      <w:r>
        <w:rPr>
          <w:rFonts w:hint="eastAsia" w:ascii="华文中宋" w:hAnsi="华文中宋" w:eastAsia="华文中宋" w:cs="Times New Roman"/>
          <w:b/>
          <w:sz w:val="52"/>
          <w:szCs w:val="52"/>
        </w:rPr>
        <w:t>“十三五”规划</w:t>
      </w:r>
    </w:p>
    <w:p>
      <w:pPr>
        <w:spacing w:beforeLines="50"/>
        <w:jc w:val="center"/>
        <w:rPr>
          <w:rFonts w:asciiTheme="minorEastAsia" w:hAnsiTheme="minorEastAsia"/>
          <w:b/>
          <w:color w:val="000000" w:themeColor="text1"/>
          <w:sz w:val="36"/>
          <w:szCs w:val="28"/>
        </w:rPr>
      </w:pPr>
    </w:p>
    <w:p>
      <w:pPr>
        <w:spacing w:beforeLines="50"/>
        <w:jc w:val="center"/>
        <w:rPr>
          <w:rFonts w:asciiTheme="minorEastAsia" w:hAnsiTheme="minorEastAsia"/>
          <w:b/>
          <w:color w:val="000000" w:themeColor="text1"/>
          <w:sz w:val="36"/>
          <w:szCs w:val="28"/>
        </w:rPr>
      </w:pPr>
    </w:p>
    <w:p>
      <w:pPr>
        <w:spacing w:beforeLines="50"/>
        <w:rPr>
          <w:rFonts w:asciiTheme="minorEastAsia" w:hAnsiTheme="minorEastAsia"/>
          <w:b/>
          <w:color w:val="000000" w:themeColor="text1"/>
          <w:sz w:val="28"/>
          <w:szCs w:val="28"/>
        </w:rPr>
      </w:pPr>
    </w:p>
    <w:p>
      <w:pPr>
        <w:spacing w:beforeLines="50" w:line="360" w:lineRule="auto"/>
        <w:jc w:val="center"/>
        <w:rPr>
          <w:rFonts w:asciiTheme="minorEastAsia" w:hAnsiTheme="minorEastAsia"/>
          <w:color w:val="000000" w:themeColor="text1"/>
          <w:sz w:val="32"/>
          <w:szCs w:val="32"/>
        </w:rPr>
      </w:pPr>
    </w:p>
    <w:p>
      <w:pPr>
        <w:spacing w:beforeLines="50" w:line="360" w:lineRule="auto"/>
        <w:jc w:val="center"/>
        <w:rPr>
          <w:rFonts w:asciiTheme="minorEastAsia" w:hAnsiTheme="minorEastAsia"/>
          <w:color w:val="000000" w:themeColor="text1"/>
          <w:sz w:val="32"/>
          <w:szCs w:val="32"/>
        </w:rPr>
      </w:pPr>
    </w:p>
    <w:p>
      <w:pPr>
        <w:spacing w:beforeLines="50" w:line="360" w:lineRule="auto"/>
        <w:jc w:val="center"/>
        <w:rPr>
          <w:rFonts w:asciiTheme="minorEastAsia" w:hAnsiTheme="minorEastAsia"/>
          <w:color w:val="000000" w:themeColor="text1"/>
          <w:sz w:val="32"/>
          <w:szCs w:val="32"/>
        </w:rPr>
      </w:pPr>
    </w:p>
    <w:p>
      <w:pPr>
        <w:spacing w:beforeLines="50"/>
        <w:ind w:firstLine="420"/>
        <w:jc w:val="center"/>
        <w:rPr>
          <w:rFonts w:hint="eastAsia" w:eastAsia="仿宋_GB2312" w:asciiTheme="minorEastAsia" w:hAnsiTheme="minorEastAsia"/>
          <w:b/>
          <w:bCs/>
          <w:sz w:val="40"/>
          <w:szCs w:val="48"/>
          <w:lang w:eastAsia="zh-CN"/>
        </w:rPr>
      </w:pPr>
      <w:r>
        <w:rPr>
          <w:rFonts w:hint="eastAsia" w:ascii="仿宋_GB2312" w:hAnsi="华文中宋" w:eastAsia="仿宋_GB2312"/>
          <w:b/>
          <w:spacing w:val="60"/>
          <w:sz w:val="32"/>
          <w:szCs w:val="32"/>
        </w:rPr>
        <w:t>二</w:t>
      </w:r>
      <w:r>
        <w:rPr>
          <w:rFonts w:hint="eastAsia" w:ascii="仿宋_GB2312" w:hAnsi="华文中宋" w:eastAsia="幼圆"/>
          <w:b/>
          <w:spacing w:val="60"/>
          <w:sz w:val="32"/>
          <w:szCs w:val="32"/>
        </w:rPr>
        <w:t>〇</w:t>
      </w:r>
      <w:r>
        <w:rPr>
          <w:rFonts w:hint="eastAsia" w:ascii="仿宋_GB2312" w:hAnsi="华文中宋" w:eastAsia="仿宋_GB2312"/>
          <w:b/>
          <w:spacing w:val="60"/>
          <w:sz w:val="32"/>
          <w:szCs w:val="32"/>
        </w:rPr>
        <w:t>一</w:t>
      </w:r>
      <w:r>
        <w:rPr>
          <w:rFonts w:hint="eastAsia" w:ascii="仿宋_GB2312" w:hAnsi="华文中宋" w:eastAsia="仿宋_GB2312"/>
          <w:b/>
          <w:spacing w:val="60"/>
          <w:sz w:val="32"/>
          <w:szCs w:val="32"/>
          <w:lang w:eastAsia="zh-CN"/>
        </w:rPr>
        <w:t>九</w:t>
      </w:r>
      <w:r>
        <w:rPr>
          <w:rFonts w:hint="eastAsia" w:ascii="仿宋_GB2312" w:hAnsi="华文中宋" w:eastAsia="仿宋_GB2312"/>
          <w:b/>
          <w:spacing w:val="60"/>
          <w:sz w:val="32"/>
          <w:szCs w:val="32"/>
        </w:rPr>
        <w:t>年</w:t>
      </w:r>
      <w:r>
        <w:rPr>
          <w:rFonts w:hint="eastAsia" w:ascii="仿宋_GB2312" w:hAnsi="华文中宋" w:eastAsia="仿宋_GB2312"/>
          <w:b/>
          <w:spacing w:val="60"/>
          <w:sz w:val="32"/>
          <w:szCs w:val="32"/>
          <w:lang w:eastAsia="zh-CN"/>
        </w:rPr>
        <w:t>五</w:t>
      </w:r>
      <w:r>
        <w:rPr>
          <w:rFonts w:hint="eastAsia" w:ascii="仿宋_GB2312" w:hAnsi="华文中宋" w:eastAsia="仿宋_GB2312"/>
          <w:b/>
          <w:spacing w:val="60"/>
          <w:sz w:val="32"/>
          <w:szCs w:val="32"/>
        </w:rPr>
        <w:t>月</w:t>
      </w:r>
      <w:r>
        <w:rPr>
          <w:rFonts w:hint="eastAsia" w:ascii="仿宋_GB2312" w:hAnsi="华文中宋" w:eastAsia="仿宋_GB2312"/>
          <w:b/>
          <w:spacing w:val="60"/>
          <w:sz w:val="32"/>
          <w:szCs w:val="32"/>
          <w:lang w:eastAsia="zh-CN"/>
        </w:rPr>
        <w:t>修订版</w:t>
      </w:r>
    </w:p>
    <w:p>
      <w:pPr>
        <w:spacing w:beforeLines="50"/>
        <w:jc w:val="left"/>
        <w:rPr>
          <w:rFonts w:asciiTheme="minorEastAsia" w:hAnsiTheme="minorEastAsia"/>
          <w:b/>
          <w:bCs/>
          <w:sz w:val="40"/>
          <w:szCs w:val="48"/>
        </w:rPr>
      </w:pPr>
    </w:p>
    <w:p>
      <w:pPr>
        <w:spacing w:beforeLines="50"/>
        <w:jc w:val="left"/>
        <w:rPr>
          <w:rFonts w:asciiTheme="minorEastAsia" w:hAnsiTheme="minorEastAsia"/>
          <w:b/>
          <w:bCs/>
          <w:sz w:val="40"/>
          <w:szCs w:val="48"/>
        </w:rPr>
        <w:sectPr>
          <w:pgSz w:w="11906" w:h="16838"/>
          <w:pgMar w:top="1440" w:right="1800" w:bottom="1440" w:left="1800" w:header="851" w:footer="992" w:gutter="0"/>
          <w:cols w:space="425" w:num="1"/>
          <w:docGrid w:type="lines" w:linePitch="312" w:charSpace="0"/>
        </w:sectPr>
      </w:pPr>
      <w:bookmarkStart w:id="108" w:name="_GoBack"/>
      <w:bookmarkEnd w:id="108"/>
    </w:p>
    <w:sdt>
      <w:sdtPr>
        <w:rPr>
          <w:rFonts w:eastAsia="宋体" w:cs="宋体" w:asciiTheme="minorEastAsia" w:hAnsiTheme="minorEastAsia"/>
          <w:kern w:val="0"/>
          <w:sz w:val="24"/>
          <w:szCs w:val="24"/>
          <w:lang w:val="zh-CN"/>
        </w:rPr>
        <w:id w:val="-976602256"/>
        <w:docPartObj>
          <w:docPartGallery w:val="Table of Contents"/>
          <w:docPartUnique/>
        </w:docPartObj>
      </w:sdtPr>
      <w:sdtEndPr>
        <w:rPr>
          <w:rFonts w:eastAsia="宋体" w:cs="Times New Roman" w:asciiTheme="minorEastAsia" w:hAnsiTheme="minorEastAsia"/>
          <w:kern w:val="2"/>
          <w:sz w:val="21"/>
          <w:szCs w:val="20"/>
          <w:lang w:val="zh-CN"/>
        </w:rPr>
      </w:sdtEndPr>
      <w:sdtContent>
        <w:p>
          <w:pPr>
            <w:spacing w:beforeLines="50"/>
            <w:jc w:val="center"/>
            <w:rPr>
              <w:rFonts w:asciiTheme="minorEastAsia" w:hAnsiTheme="minorEastAsia"/>
              <w:sz w:val="36"/>
              <w:szCs w:val="36"/>
              <w:lang w:val="zh-CN"/>
            </w:rPr>
          </w:pPr>
          <w:r>
            <w:rPr>
              <w:rFonts w:ascii="华文中宋" w:hAnsi="华文中宋" w:eastAsia="华文中宋" w:cs="Times New Roman"/>
              <w:sz w:val="36"/>
              <w:szCs w:val="36"/>
            </w:rPr>
            <w:t>目 录</w:t>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ascii="仿宋_GB2312" w:hAnsi="Calibri" w:eastAsia="仿宋_GB2312"/>
              <w:color w:val="000000" w:themeColor="text1"/>
              <w:sz w:val="30"/>
              <w:szCs w:val="30"/>
            </w:rPr>
            <w:fldChar w:fldCharType="begin"/>
          </w:r>
          <w:r>
            <w:rPr>
              <w:rStyle w:val="28"/>
              <w:rFonts w:ascii="仿宋_GB2312" w:hAnsi="Calibri" w:eastAsia="仿宋_GB2312"/>
              <w:color w:val="000000" w:themeColor="text1"/>
              <w:sz w:val="30"/>
              <w:szCs w:val="30"/>
            </w:rPr>
            <w:instrText xml:space="preserve"> TOC \o "1-3" \h \z \u </w:instrText>
          </w:r>
          <w:r>
            <w:rPr>
              <w:rStyle w:val="28"/>
              <w:rFonts w:ascii="仿宋_GB2312" w:hAnsi="Calibri" w:eastAsia="仿宋_GB2312"/>
              <w:color w:val="000000" w:themeColor="text1"/>
              <w:sz w:val="30"/>
              <w:szCs w:val="30"/>
            </w:rPr>
            <w:fldChar w:fldCharType="separate"/>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"_Toc507683691"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前  言</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_Toc507683691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1</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"_Toc507683692"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第一章 发展基础和发展环境</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_Toc507683692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2</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"_Toc507683693"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一、发展基础</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_Toc507683693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2</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"_Toc507683694"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（一）产业规模不断壮大</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_Toc507683694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2</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"_Toc507683695"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（二）</w:t>
          </w:r>
          <w:r>
            <w:rPr>
              <w:rStyle w:val="28"/>
              <w:rFonts w:hint="eastAsia" w:ascii="宋体" w:hAnsi="宋体" w:eastAsia="宋体" w:cs="Times New Roman"/>
              <w:kern w:val="2"/>
              <w:sz w:val="30"/>
              <w:szCs w:val="30"/>
              <w:lang w:val="en-US" w:eastAsia="zh-CN" w:bidi="ar-SA"/>
            </w:rPr>
            <w:t>重点</w:t>
          </w:r>
          <w:r>
            <w:rPr>
              <w:rStyle w:val="28"/>
              <w:rFonts w:hint="eastAsia" w:ascii="宋体" w:hAnsi="宋体" w:eastAsia="宋体" w:cs="Times New Roman"/>
              <w:kern w:val="2"/>
              <w:sz w:val="30"/>
              <w:szCs w:val="30"/>
              <w:lang w:val="zh-CN" w:eastAsia="zh-CN" w:bidi="ar-SA"/>
            </w:rPr>
            <w:t>企业</w:t>
          </w:r>
          <w:r>
            <w:rPr>
              <w:rStyle w:val="28"/>
              <w:rFonts w:hint="eastAsia" w:ascii="宋体" w:hAnsi="宋体" w:eastAsia="宋体" w:cs="Times New Roman"/>
              <w:kern w:val="2"/>
              <w:sz w:val="30"/>
              <w:szCs w:val="30"/>
              <w:lang w:val="en-US" w:eastAsia="zh-CN" w:bidi="ar-SA"/>
            </w:rPr>
            <w:t>不断成长</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_Toc507683695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3</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"_Toc507683696"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（三）创新引领不断增强</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_Toc507683696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4</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"_Toc507683697"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（四）产业环境不断优化</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_Toc507683697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4</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"_Toc507683698"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二、发展环境</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_Toc507683698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4</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"_Toc507683699"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（一）机遇</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_Toc507683699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4</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"_Toc507683700"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（二）挑战</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_Toc507683700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6</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rStyle w:val="28"/>
              <w:rFonts w:hint="eastAsia" w:ascii="宋体" w:hAnsi="宋体" w:eastAsia="宋体" w:cs="Times New Roman"/>
              <w:kern w:val="2"/>
              <w:sz w:val="30"/>
              <w:szCs w:val="30"/>
              <w:lang w:val="en-US" w:eastAsia="zh-CN" w:bidi="ar-SA"/>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"_Toc507683701"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（三）优势</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_Toc507683701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7</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9"/>
            <w:tabs>
              <w:tab w:val="right" w:leader="dot" w:pos="8296"/>
            </w:tabs>
            <w:spacing w:line="560" w:lineRule="exact"/>
            <w:rPr>
              <w:sz w:val="21"/>
              <w:szCs w:val="22"/>
            </w:rPr>
          </w:pP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HYPERLINK \l "_Toc507683702"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zh-CN" w:eastAsia="zh-CN" w:bidi="ar-SA"/>
            </w:rPr>
            <w:t>（四）劣势</w:t>
          </w:r>
          <w:r>
            <w:rPr>
              <w:rStyle w:val="28"/>
              <w:rFonts w:hint="eastAsia" w:ascii="宋体" w:hAnsi="宋体" w:eastAsia="宋体" w:cs="Times New Roman"/>
              <w:kern w:val="2"/>
              <w:sz w:val="30"/>
              <w:szCs w:val="30"/>
              <w:lang w:val="en-US" w:eastAsia="zh-CN" w:bidi="ar-SA"/>
            </w:rPr>
            <w:tab/>
          </w:r>
          <w:r>
            <w:rPr>
              <w:rStyle w:val="28"/>
              <w:rFonts w:hint="eastAsia" w:ascii="宋体" w:hAnsi="宋体" w:eastAsia="宋体" w:cs="Times New Roman"/>
              <w:kern w:val="2"/>
              <w:sz w:val="30"/>
              <w:szCs w:val="30"/>
              <w:lang w:val="en-US" w:eastAsia="zh-CN" w:bidi="ar-SA"/>
            </w:rPr>
            <w:fldChar w:fldCharType="begin"/>
          </w:r>
          <w:r>
            <w:rPr>
              <w:rStyle w:val="28"/>
              <w:rFonts w:hint="eastAsia" w:ascii="宋体" w:hAnsi="宋体" w:eastAsia="宋体" w:cs="Times New Roman"/>
              <w:kern w:val="2"/>
              <w:sz w:val="30"/>
              <w:szCs w:val="30"/>
              <w:lang w:val="en-US" w:eastAsia="zh-CN" w:bidi="ar-SA"/>
            </w:rPr>
            <w:instrText xml:space="preserve"> PAGEREF _Toc507683702 \h </w:instrText>
          </w:r>
          <w:r>
            <w:rPr>
              <w:rStyle w:val="28"/>
              <w:rFonts w:hint="eastAsia" w:ascii="宋体" w:hAnsi="宋体" w:eastAsia="宋体" w:cs="Times New Roman"/>
              <w:kern w:val="2"/>
              <w:sz w:val="30"/>
              <w:szCs w:val="30"/>
              <w:lang w:val="en-US" w:eastAsia="zh-CN" w:bidi="ar-SA"/>
            </w:rPr>
            <w:fldChar w:fldCharType="separate"/>
          </w:r>
          <w:r>
            <w:rPr>
              <w:rStyle w:val="28"/>
              <w:rFonts w:hint="eastAsia" w:ascii="宋体" w:hAnsi="宋体" w:eastAsia="宋体" w:cs="Times New Roman"/>
              <w:kern w:val="2"/>
              <w:sz w:val="30"/>
              <w:szCs w:val="30"/>
              <w:lang w:val="en-US" w:eastAsia="zh-CN" w:bidi="ar-SA"/>
            </w:rPr>
            <w:t>8</w:t>
          </w:r>
          <w:r>
            <w:rPr>
              <w:rStyle w:val="28"/>
              <w:rFonts w:hint="eastAsia" w:ascii="宋体" w:hAnsi="宋体" w:eastAsia="宋体" w:cs="Times New Roman"/>
              <w:kern w:val="2"/>
              <w:sz w:val="30"/>
              <w:szCs w:val="30"/>
              <w:lang w:val="en-US" w:eastAsia="zh-CN" w:bidi="ar-SA"/>
            </w:rPr>
            <w:fldChar w:fldCharType="end"/>
          </w:r>
          <w:r>
            <w:rPr>
              <w:rStyle w:val="28"/>
              <w:rFonts w:hint="eastAsia" w:ascii="宋体" w:hAnsi="宋体" w:eastAsia="宋体" w:cs="Times New Roman"/>
              <w:kern w:val="2"/>
              <w:sz w:val="30"/>
              <w:szCs w:val="30"/>
              <w:lang w:val="en-US" w:eastAsia="zh-CN" w:bidi="ar-SA"/>
            </w:rPr>
            <w:fldChar w:fldCharType="end"/>
          </w:r>
        </w:p>
        <w:p>
          <w:pPr>
            <w:pStyle w:val="15"/>
            <w:spacing w:line="560" w:lineRule="exact"/>
            <w:rPr>
              <w:rFonts w:ascii="宋体" w:hAnsi="宋体" w:cstheme="minorBidi"/>
              <w:sz w:val="30"/>
              <w:szCs w:val="30"/>
            </w:rPr>
          </w:pPr>
          <w:r>
            <w:fldChar w:fldCharType="begin"/>
          </w:r>
          <w:r>
            <w:instrText xml:space="preserve"> HYPERLINK \l "_Toc507683703" </w:instrText>
          </w:r>
          <w:r>
            <w:fldChar w:fldCharType="separate"/>
          </w:r>
          <w:r>
            <w:rPr>
              <w:rStyle w:val="28"/>
              <w:rFonts w:hint="eastAsia" w:ascii="宋体" w:hAnsi="宋体"/>
              <w:sz w:val="30"/>
              <w:szCs w:val="30"/>
            </w:rPr>
            <w:t>第二章</w:t>
          </w:r>
          <w:r>
            <w:rPr>
              <w:rStyle w:val="28"/>
              <w:rFonts w:ascii="宋体" w:hAnsi="宋体"/>
              <w:sz w:val="30"/>
              <w:szCs w:val="30"/>
            </w:rPr>
            <w:t xml:space="preserve"> </w:t>
          </w:r>
          <w:r>
            <w:rPr>
              <w:rStyle w:val="28"/>
              <w:rFonts w:hint="eastAsia" w:ascii="宋体" w:hAnsi="宋体"/>
              <w:sz w:val="30"/>
              <w:szCs w:val="30"/>
            </w:rPr>
            <w:t>指导思想、基本原则、主要目标</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_Toc507683703 \h </w:instrText>
          </w:r>
          <w:r>
            <w:rPr>
              <w:rFonts w:ascii="宋体" w:hAnsi="宋体"/>
              <w:sz w:val="30"/>
              <w:szCs w:val="30"/>
            </w:rPr>
            <w:fldChar w:fldCharType="separate"/>
          </w:r>
          <w:r>
            <w:rPr>
              <w:rFonts w:ascii="宋体" w:hAnsi="宋体"/>
              <w:sz w:val="30"/>
              <w:szCs w:val="30"/>
            </w:rPr>
            <w:t>8</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"_Toc507683704" </w:instrText>
          </w:r>
          <w:r>
            <w:fldChar w:fldCharType="separate"/>
          </w:r>
          <w:r>
            <w:rPr>
              <w:rStyle w:val="28"/>
              <w:rFonts w:hint="eastAsia" w:ascii="宋体" w:hAnsi="宋体" w:eastAsia="宋体"/>
              <w:sz w:val="30"/>
              <w:szCs w:val="30"/>
            </w:rPr>
            <w:t>一、指导思想</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_Toc507683704 \h </w:instrText>
          </w:r>
          <w:r>
            <w:rPr>
              <w:rFonts w:ascii="宋体" w:hAnsi="宋体" w:eastAsia="宋体"/>
              <w:sz w:val="30"/>
              <w:szCs w:val="30"/>
            </w:rPr>
            <w:fldChar w:fldCharType="separate"/>
          </w:r>
          <w:r>
            <w:rPr>
              <w:rFonts w:ascii="宋体" w:hAnsi="宋体" w:eastAsia="宋体"/>
              <w:sz w:val="30"/>
              <w:szCs w:val="30"/>
            </w:rPr>
            <w:t>8</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"_Toc507683705" </w:instrText>
          </w:r>
          <w:r>
            <w:fldChar w:fldCharType="separate"/>
          </w:r>
          <w:r>
            <w:rPr>
              <w:rStyle w:val="28"/>
              <w:rFonts w:hint="eastAsia" w:ascii="宋体" w:hAnsi="宋体" w:eastAsia="宋体"/>
              <w:sz w:val="30"/>
              <w:szCs w:val="30"/>
            </w:rPr>
            <w:t>二、基本原则</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_Toc507683705 \h </w:instrText>
          </w:r>
          <w:r>
            <w:rPr>
              <w:rFonts w:ascii="宋体" w:hAnsi="宋体" w:eastAsia="宋体"/>
              <w:sz w:val="30"/>
              <w:szCs w:val="30"/>
            </w:rPr>
            <w:fldChar w:fldCharType="separate"/>
          </w:r>
          <w:r>
            <w:rPr>
              <w:rFonts w:ascii="宋体" w:hAnsi="宋体" w:eastAsia="宋体"/>
              <w:sz w:val="30"/>
              <w:szCs w:val="30"/>
            </w:rPr>
            <w:t>9</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"_Toc507683706" </w:instrText>
          </w:r>
          <w:r>
            <w:fldChar w:fldCharType="separate"/>
          </w:r>
          <w:r>
            <w:rPr>
              <w:rStyle w:val="28"/>
              <w:rFonts w:hint="eastAsia" w:ascii="宋体" w:hAnsi="宋体" w:eastAsia="宋体"/>
              <w:sz w:val="30"/>
              <w:szCs w:val="30"/>
            </w:rPr>
            <w:t>三、主要目标</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_Toc507683706 \h </w:instrText>
          </w:r>
          <w:r>
            <w:rPr>
              <w:rFonts w:ascii="宋体" w:hAnsi="宋体" w:eastAsia="宋体"/>
              <w:sz w:val="30"/>
              <w:szCs w:val="30"/>
            </w:rPr>
            <w:fldChar w:fldCharType="separate"/>
          </w:r>
          <w:r>
            <w:rPr>
              <w:rFonts w:ascii="宋体" w:hAnsi="宋体" w:eastAsia="宋体"/>
              <w:sz w:val="30"/>
              <w:szCs w:val="30"/>
            </w:rPr>
            <w:t>10</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"_Toc507683707" </w:instrText>
          </w:r>
          <w:r>
            <w:fldChar w:fldCharType="separate"/>
          </w:r>
          <w:r>
            <w:rPr>
              <w:rStyle w:val="28"/>
              <w:rFonts w:hint="eastAsia" w:ascii="宋体" w:hAnsi="宋体"/>
              <w:sz w:val="30"/>
              <w:szCs w:val="30"/>
            </w:rPr>
            <w:t>第三章</w:t>
          </w:r>
          <w:r>
            <w:rPr>
              <w:rStyle w:val="28"/>
              <w:rFonts w:ascii="宋体" w:hAnsi="宋体"/>
              <w:sz w:val="30"/>
              <w:szCs w:val="30"/>
            </w:rPr>
            <w:t xml:space="preserve"> </w:t>
          </w:r>
          <w:r>
            <w:rPr>
              <w:rStyle w:val="28"/>
              <w:rFonts w:hint="eastAsia" w:ascii="宋体" w:hAnsi="宋体"/>
              <w:sz w:val="30"/>
              <w:szCs w:val="30"/>
            </w:rPr>
            <w:t>重点产业发展</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_Toc507683707 \h </w:instrText>
          </w:r>
          <w:r>
            <w:rPr>
              <w:rFonts w:ascii="宋体" w:hAnsi="宋体"/>
              <w:sz w:val="30"/>
              <w:szCs w:val="30"/>
            </w:rPr>
            <w:fldChar w:fldCharType="separate"/>
          </w:r>
          <w:r>
            <w:rPr>
              <w:rFonts w:ascii="宋体" w:hAnsi="宋体"/>
              <w:sz w:val="30"/>
              <w:szCs w:val="30"/>
            </w:rPr>
            <w:t>10</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"_Toc507683708" </w:instrText>
          </w:r>
          <w:r>
            <w:fldChar w:fldCharType="separate"/>
          </w:r>
          <w:r>
            <w:rPr>
              <w:rStyle w:val="28"/>
              <w:rFonts w:hint="eastAsia" w:ascii="宋体" w:hAnsi="宋体" w:eastAsia="宋体"/>
              <w:sz w:val="30"/>
              <w:szCs w:val="30"/>
            </w:rPr>
            <w:t>一、优先培育四大新产业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_Toc507683708 \h </w:instrText>
          </w:r>
          <w:r>
            <w:rPr>
              <w:rFonts w:ascii="宋体" w:hAnsi="宋体" w:eastAsia="宋体"/>
              <w:sz w:val="30"/>
              <w:szCs w:val="30"/>
            </w:rPr>
            <w:fldChar w:fldCharType="separate"/>
          </w:r>
          <w:r>
            <w:rPr>
              <w:rFonts w:ascii="宋体" w:hAnsi="宋体" w:eastAsia="宋体"/>
              <w:sz w:val="30"/>
              <w:szCs w:val="30"/>
            </w:rPr>
            <w:t>11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"_Toc507683709" </w:instrText>
          </w:r>
          <w:r>
            <w:fldChar w:fldCharType="separate"/>
          </w:r>
          <w:r>
            <w:rPr>
              <w:rStyle w:val="28"/>
              <w:rFonts w:hint="eastAsia" w:ascii="宋体" w:hAnsi="宋体" w:eastAsia="宋体" w:cs="Times New Roman"/>
              <w:kern w:val="0"/>
              <w:sz w:val="30"/>
              <w:szCs w:val="30"/>
              <w:lang w:val="zh-CN"/>
            </w:rPr>
            <w:t>（一）轨道交通产业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_Toc507683709 \h </w:instrText>
          </w:r>
          <w:r>
            <w:rPr>
              <w:rFonts w:ascii="宋体" w:hAnsi="宋体" w:eastAsia="宋体"/>
              <w:sz w:val="30"/>
              <w:szCs w:val="30"/>
            </w:rPr>
            <w:fldChar w:fldCharType="separate"/>
          </w:r>
          <w:r>
            <w:rPr>
              <w:rFonts w:ascii="宋体" w:hAnsi="宋体" w:eastAsia="宋体"/>
              <w:sz w:val="30"/>
              <w:szCs w:val="30"/>
            </w:rPr>
            <w:t>11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"_Toc507683710" </w:instrText>
          </w:r>
          <w:r>
            <w:fldChar w:fldCharType="separate"/>
          </w:r>
          <w:r>
            <w:rPr>
              <w:rStyle w:val="28"/>
              <w:rFonts w:hint="eastAsia" w:ascii="宋体" w:hAnsi="宋体" w:eastAsia="宋体" w:cs="Times New Roman"/>
              <w:kern w:val="0"/>
              <w:sz w:val="30"/>
              <w:szCs w:val="30"/>
              <w:lang w:val="zh-CN"/>
            </w:rPr>
            <w:t>（二）智能电网产业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_Toc507683710 \h </w:instrText>
          </w:r>
          <w:r>
            <w:rPr>
              <w:rFonts w:ascii="宋体" w:hAnsi="宋体" w:eastAsia="宋体"/>
              <w:sz w:val="30"/>
              <w:szCs w:val="30"/>
            </w:rPr>
            <w:fldChar w:fldCharType="separate"/>
          </w:r>
          <w:r>
            <w:rPr>
              <w:rFonts w:ascii="宋体" w:hAnsi="宋体" w:eastAsia="宋体"/>
              <w:sz w:val="30"/>
              <w:szCs w:val="30"/>
            </w:rPr>
            <w:t>12</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"_Toc507683711" </w:instrText>
          </w:r>
          <w:r>
            <w:fldChar w:fldCharType="separate"/>
          </w:r>
          <w:r>
            <w:rPr>
              <w:rStyle w:val="28"/>
              <w:rFonts w:hint="eastAsia" w:ascii="宋体" w:hAnsi="宋体" w:eastAsia="宋体" w:cs="Times New Roman"/>
              <w:kern w:val="0"/>
              <w:sz w:val="30"/>
              <w:szCs w:val="30"/>
              <w:lang w:val="zh-CN"/>
            </w:rPr>
            <w:t>（三）装配式建筑产业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_Toc507683711 \h </w:instrText>
          </w:r>
          <w:r>
            <w:rPr>
              <w:rFonts w:ascii="宋体" w:hAnsi="宋体" w:eastAsia="宋体"/>
              <w:sz w:val="30"/>
              <w:szCs w:val="30"/>
            </w:rPr>
            <w:fldChar w:fldCharType="separate"/>
          </w:r>
          <w:r>
            <w:rPr>
              <w:rFonts w:ascii="宋体" w:hAnsi="宋体" w:eastAsia="宋体"/>
              <w:sz w:val="30"/>
              <w:szCs w:val="30"/>
            </w:rPr>
            <w:t>13</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ind w:firstLine="420" w:firstLineChars="200"/>
            <w:rPr>
              <w:rFonts w:ascii="宋体" w:hAnsi="宋体" w:eastAsia="宋体"/>
              <w:sz w:val="30"/>
              <w:szCs w:val="30"/>
            </w:rPr>
          </w:pPr>
          <w:r>
            <w:fldChar w:fldCharType="begin"/>
          </w:r>
          <w:r>
            <w:instrText xml:space="preserve"> HYPERLINK \l "_Toc507683712" </w:instrText>
          </w:r>
          <w:r>
            <w:fldChar w:fldCharType="separate"/>
          </w:r>
          <w:r>
            <w:rPr>
              <w:rStyle w:val="28"/>
              <w:rFonts w:hint="eastAsia" w:ascii="宋体" w:hAnsi="宋体" w:eastAsia="宋体"/>
              <w:sz w:val="30"/>
              <w:szCs w:val="30"/>
              <w:u w:val="none"/>
            </w:rPr>
            <w:t>（四）工业大数据产业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_Toc507683712 \h </w:instrText>
          </w:r>
          <w:r>
            <w:rPr>
              <w:rFonts w:ascii="宋体" w:hAnsi="宋体" w:eastAsia="宋体"/>
              <w:sz w:val="30"/>
              <w:szCs w:val="30"/>
            </w:rPr>
            <w:fldChar w:fldCharType="separate"/>
          </w:r>
          <w:r>
            <w:rPr>
              <w:rFonts w:ascii="宋体" w:hAnsi="宋体" w:eastAsia="宋体"/>
              <w:sz w:val="30"/>
              <w:szCs w:val="30"/>
            </w:rPr>
            <w:t>14</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"_Toc507683713" </w:instrText>
          </w:r>
          <w:r>
            <w:fldChar w:fldCharType="separate"/>
          </w:r>
          <w:r>
            <w:rPr>
              <w:rStyle w:val="28"/>
              <w:rFonts w:hint="eastAsia" w:ascii="宋体" w:hAnsi="宋体" w:eastAsia="宋体"/>
              <w:sz w:val="30"/>
              <w:szCs w:val="30"/>
            </w:rPr>
            <w:t>二、提升壮大六大优势产业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_Toc507683713 \h </w:instrText>
          </w:r>
          <w:r>
            <w:rPr>
              <w:rFonts w:ascii="宋体" w:hAnsi="宋体" w:eastAsia="宋体"/>
              <w:sz w:val="30"/>
              <w:szCs w:val="30"/>
            </w:rPr>
            <w:fldChar w:fldCharType="separate"/>
          </w:r>
          <w:r>
            <w:rPr>
              <w:rFonts w:ascii="宋体" w:hAnsi="宋体" w:eastAsia="宋体"/>
              <w:sz w:val="30"/>
              <w:szCs w:val="30"/>
            </w:rPr>
            <w:t>16</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"_Toc507683714" </w:instrText>
          </w:r>
          <w:r>
            <w:fldChar w:fldCharType="separate"/>
          </w:r>
          <w:r>
            <w:rPr>
              <w:rStyle w:val="28"/>
              <w:rFonts w:hint="eastAsia" w:ascii="宋体" w:hAnsi="宋体" w:eastAsia="宋体" w:cs="Times New Roman"/>
              <w:kern w:val="0"/>
              <w:sz w:val="30"/>
              <w:szCs w:val="30"/>
              <w:lang w:val="zh-CN"/>
            </w:rPr>
            <w:t>（一）新能源汽车产业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_Toc507683714 \h </w:instrText>
          </w:r>
          <w:r>
            <w:rPr>
              <w:rFonts w:ascii="宋体" w:hAnsi="宋体" w:eastAsia="宋体"/>
              <w:sz w:val="30"/>
              <w:szCs w:val="30"/>
            </w:rPr>
            <w:fldChar w:fldCharType="separate"/>
          </w:r>
          <w:r>
            <w:rPr>
              <w:rFonts w:ascii="宋体" w:hAnsi="宋体" w:eastAsia="宋体"/>
              <w:sz w:val="30"/>
              <w:szCs w:val="30"/>
            </w:rPr>
            <w:t>16</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"_Toc507683715" </w:instrText>
          </w:r>
          <w:r>
            <w:fldChar w:fldCharType="separate"/>
          </w:r>
          <w:r>
            <w:rPr>
              <w:rStyle w:val="28"/>
              <w:rFonts w:hint="eastAsia" w:ascii="宋体" w:hAnsi="宋体" w:eastAsia="宋体" w:cs="Times New Roman"/>
              <w:kern w:val="0"/>
              <w:sz w:val="30"/>
              <w:szCs w:val="30"/>
              <w:lang w:val="zh-CN"/>
            </w:rPr>
            <w:t>（二）高端装备制造业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_Toc507683715 \h </w:instrText>
          </w:r>
          <w:r>
            <w:rPr>
              <w:rFonts w:ascii="宋体" w:hAnsi="宋体" w:eastAsia="宋体"/>
              <w:sz w:val="30"/>
              <w:szCs w:val="30"/>
            </w:rPr>
            <w:fldChar w:fldCharType="separate"/>
          </w:r>
          <w:r>
            <w:rPr>
              <w:rFonts w:ascii="宋体" w:hAnsi="宋体" w:eastAsia="宋体"/>
              <w:sz w:val="30"/>
              <w:szCs w:val="30"/>
            </w:rPr>
            <w:t>17</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"_Toc507683716" </w:instrText>
          </w:r>
          <w:r>
            <w:fldChar w:fldCharType="separate"/>
          </w:r>
          <w:r>
            <w:rPr>
              <w:rStyle w:val="28"/>
              <w:rFonts w:hint="eastAsia" w:ascii="宋体" w:hAnsi="宋体" w:eastAsia="宋体" w:cs="Times New Roman"/>
              <w:kern w:val="0"/>
              <w:sz w:val="30"/>
              <w:szCs w:val="30"/>
              <w:lang w:val="zh-CN"/>
            </w:rPr>
            <w:t>（三）电子信息产业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_Toc507683716 \h </w:instrText>
          </w:r>
          <w:r>
            <w:rPr>
              <w:rFonts w:ascii="宋体" w:hAnsi="宋体" w:eastAsia="宋体"/>
              <w:sz w:val="30"/>
              <w:szCs w:val="30"/>
            </w:rPr>
            <w:fldChar w:fldCharType="separate"/>
          </w:r>
          <w:r>
            <w:rPr>
              <w:rFonts w:ascii="宋体" w:hAnsi="宋体" w:eastAsia="宋体"/>
              <w:sz w:val="30"/>
              <w:szCs w:val="30"/>
            </w:rPr>
            <w:t>19</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"_Toc507683717" </w:instrText>
          </w:r>
          <w:r>
            <w:fldChar w:fldCharType="separate"/>
          </w:r>
          <w:r>
            <w:rPr>
              <w:rStyle w:val="28"/>
              <w:rFonts w:hint="eastAsia" w:ascii="宋体" w:hAnsi="宋体" w:eastAsia="宋体" w:cs="Times New Roman"/>
              <w:kern w:val="0"/>
              <w:sz w:val="30"/>
              <w:szCs w:val="30"/>
              <w:lang w:val="zh-CN"/>
            </w:rPr>
            <w:t>（四）新材料产业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_Toc507683717 \h </w:instrText>
          </w:r>
          <w:r>
            <w:rPr>
              <w:rFonts w:ascii="宋体" w:hAnsi="宋体" w:eastAsia="宋体"/>
              <w:sz w:val="30"/>
              <w:szCs w:val="30"/>
            </w:rPr>
            <w:fldChar w:fldCharType="separate"/>
          </w:r>
          <w:r>
            <w:rPr>
              <w:rFonts w:ascii="宋体" w:hAnsi="宋体" w:eastAsia="宋体"/>
              <w:sz w:val="30"/>
              <w:szCs w:val="30"/>
            </w:rPr>
            <w:t>20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"_Toc507683718" </w:instrText>
          </w:r>
          <w:r>
            <w:fldChar w:fldCharType="separate"/>
          </w:r>
          <w:r>
            <w:rPr>
              <w:rStyle w:val="28"/>
              <w:rFonts w:hint="eastAsia" w:ascii="宋体" w:hAnsi="宋体" w:eastAsia="宋体" w:cs="Times New Roman"/>
              <w:kern w:val="0"/>
              <w:sz w:val="30"/>
              <w:szCs w:val="30"/>
              <w:lang w:val="zh-CN"/>
            </w:rPr>
            <w:t>（五）节能环保产业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_Toc507683718 \h </w:instrText>
          </w:r>
          <w:r>
            <w:rPr>
              <w:rFonts w:ascii="宋体" w:hAnsi="宋体" w:eastAsia="宋体"/>
              <w:sz w:val="30"/>
              <w:szCs w:val="30"/>
            </w:rPr>
            <w:fldChar w:fldCharType="separate"/>
          </w:r>
          <w:r>
            <w:rPr>
              <w:rFonts w:ascii="宋体" w:hAnsi="宋体" w:eastAsia="宋体"/>
              <w:sz w:val="30"/>
              <w:szCs w:val="30"/>
            </w:rPr>
            <w:t>21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"_Toc507683719" </w:instrText>
          </w:r>
          <w:r>
            <w:fldChar w:fldCharType="separate"/>
          </w:r>
          <w:r>
            <w:rPr>
              <w:rStyle w:val="28"/>
              <w:rFonts w:hint="eastAsia" w:ascii="宋体" w:hAnsi="宋体" w:eastAsia="宋体" w:cs="Times New Roman"/>
              <w:kern w:val="0"/>
              <w:sz w:val="30"/>
              <w:szCs w:val="30"/>
              <w:lang w:val="zh-CN"/>
            </w:rPr>
            <w:t>（六）生物与制药产业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_Toc507683719 \h </w:instrText>
          </w:r>
          <w:r>
            <w:rPr>
              <w:rFonts w:ascii="宋体" w:hAnsi="宋体" w:eastAsia="宋体"/>
              <w:sz w:val="30"/>
              <w:szCs w:val="30"/>
            </w:rPr>
            <w:fldChar w:fldCharType="separate"/>
          </w:r>
          <w:r>
            <w:rPr>
              <w:rFonts w:ascii="宋体" w:hAnsi="宋体" w:eastAsia="宋体"/>
              <w:sz w:val="30"/>
              <w:szCs w:val="30"/>
            </w:rPr>
            <w:t>22</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ind w:firstLine="210" w:firstLineChars="100"/>
            <w:rPr>
              <w:rFonts w:ascii="宋体" w:hAnsi="宋体" w:cstheme="minorBidi"/>
              <w:sz w:val="30"/>
              <w:szCs w:val="30"/>
            </w:rPr>
          </w:pPr>
          <w:r>
            <w:fldChar w:fldCharType="begin"/>
          </w:r>
          <w:r>
            <w:instrText xml:space="preserve"> HYPERLINK \l "_Toc507683720" </w:instrText>
          </w:r>
          <w:r>
            <w:fldChar w:fldCharType="separate"/>
          </w:r>
          <w:r>
            <w:rPr>
              <w:rStyle w:val="28"/>
              <w:rFonts w:hint="eastAsia" w:ascii="宋体" w:hAnsi="宋体"/>
              <w:sz w:val="30"/>
              <w:szCs w:val="30"/>
            </w:rPr>
            <w:t>三、加快发展生产性服务业</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_Toc507683720 \h </w:instrText>
          </w:r>
          <w:r>
            <w:rPr>
              <w:rFonts w:ascii="宋体" w:hAnsi="宋体"/>
              <w:sz w:val="30"/>
              <w:szCs w:val="30"/>
            </w:rPr>
            <w:fldChar w:fldCharType="separate"/>
          </w:r>
          <w:r>
            <w:rPr>
              <w:rFonts w:ascii="宋体" w:hAnsi="宋体"/>
              <w:sz w:val="30"/>
              <w:szCs w:val="30"/>
            </w:rPr>
            <w:t>23</w:t>
          </w:r>
          <w:r>
            <w:rPr>
              <w:rFonts w:ascii="宋体" w:hAnsi="宋体"/>
              <w:sz w:val="30"/>
              <w:szCs w:val="30"/>
            </w:rPr>
            <w:fldChar w:fldCharType="end"/>
          </w:r>
          <w:r>
            <w:rPr>
              <w:rFonts w:ascii="宋体" w:hAnsi="宋体"/>
              <w:sz w:val="30"/>
              <w:szCs w:val="30"/>
            </w:rPr>
            <w:fldChar w:fldCharType="end"/>
          </w:r>
        </w:p>
        <w:p>
          <w:pPr>
            <w:pStyle w:val="15"/>
            <w:spacing w:line="560" w:lineRule="exact"/>
            <w:ind w:firstLine="525" w:firstLineChars="250"/>
            <w:rPr>
              <w:rFonts w:ascii="宋体" w:hAnsi="宋体" w:cstheme="minorBidi"/>
              <w:sz w:val="30"/>
              <w:szCs w:val="30"/>
            </w:rPr>
          </w:pPr>
          <w:r>
            <w:fldChar w:fldCharType="begin"/>
          </w:r>
          <w:r>
            <w:instrText xml:space="preserve"> HYPERLINK \l "_Toc507683721" </w:instrText>
          </w:r>
          <w:r>
            <w:fldChar w:fldCharType="separate"/>
          </w:r>
          <w:r>
            <w:rPr>
              <w:rStyle w:val="28"/>
              <w:rFonts w:hint="eastAsia" w:ascii="宋体" w:hAnsi="宋体"/>
              <w:sz w:val="30"/>
              <w:szCs w:val="30"/>
            </w:rPr>
            <w:t>（一）工业物流</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_Toc507683721 \h </w:instrText>
          </w:r>
          <w:r>
            <w:rPr>
              <w:rFonts w:ascii="宋体" w:hAnsi="宋体"/>
              <w:sz w:val="30"/>
              <w:szCs w:val="30"/>
            </w:rPr>
            <w:fldChar w:fldCharType="separate"/>
          </w:r>
          <w:r>
            <w:rPr>
              <w:rFonts w:ascii="宋体" w:hAnsi="宋体"/>
              <w:sz w:val="30"/>
              <w:szCs w:val="30"/>
            </w:rPr>
            <w:t>23</w:t>
          </w:r>
          <w:r>
            <w:rPr>
              <w:rFonts w:ascii="宋体" w:hAnsi="宋体"/>
              <w:sz w:val="30"/>
              <w:szCs w:val="30"/>
            </w:rPr>
            <w:fldChar w:fldCharType="end"/>
          </w:r>
          <w:r>
            <w:rPr>
              <w:rFonts w:ascii="宋体" w:hAnsi="宋体"/>
              <w:sz w:val="30"/>
              <w:szCs w:val="30"/>
            </w:rPr>
            <w:fldChar w:fldCharType="end"/>
          </w:r>
        </w:p>
        <w:p>
          <w:pPr>
            <w:pStyle w:val="15"/>
            <w:spacing w:line="560" w:lineRule="exact"/>
            <w:ind w:firstLine="525" w:firstLineChars="250"/>
            <w:rPr>
              <w:rFonts w:ascii="宋体" w:hAnsi="宋体" w:cstheme="minorBidi"/>
              <w:sz w:val="30"/>
              <w:szCs w:val="30"/>
            </w:rPr>
          </w:pPr>
          <w:r>
            <w:fldChar w:fldCharType="begin"/>
          </w:r>
          <w:r>
            <w:instrText xml:space="preserve"> HYPERLINK \l "_Toc507683722" </w:instrText>
          </w:r>
          <w:r>
            <w:fldChar w:fldCharType="separate"/>
          </w:r>
          <w:r>
            <w:rPr>
              <w:rStyle w:val="28"/>
              <w:rFonts w:hint="eastAsia" w:ascii="宋体" w:hAnsi="宋体"/>
              <w:sz w:val="30"/>
              <w:szCs w:val="30"/>
            </w:rPr>
            <w:t>（二）电子商务</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_Toc507683722 \h </w:instrText>
          </w:r>
          <w:r>
            <w:rPr>
              <w:rFonts w:ascii="宋体" w:hAnsi="宋体"/>
              <w:sz w:val="30"/>
              <w:szCs w:val="30"/>
            </w:rPr>
            <w:fldChar w:fldCharType="separate"/>
          </w:r>
          <w:r>
            <w:rPr>
              <w:rFonts w:ascii="宋体" w:hAnsi="宋体"/>
              <w:sz w:val="30"/>
              <w:szCs w:val="30"/>
            </w:rPr>
            <w:t>23</w:t>
          </w:r>
          <w:r>
            <w:rPr>
              <w:rFonts w:ascii="宋体" w:hAnsi="宋体"/>
              <w:sz w:val="30"/>
              <w:szCs w:val="30"/>
            </w:rPr>
            <w:fldChar w:fldCharType="end"/>
          </w:r>
          <w:r>
            <w:rPr>
              <w:rFonts w:ascii="宋体" w:hAnsi="宋体"/>
              <w:sz w:val="30"/>
              <w:szCs w:val="30"/>
            </w:rPr>
            <w:fldChar w:fldCharType="end"/>
          </w:r>
        </w:p>
        <w:p>
          <w:pPr>
            <w:pStyle w:val="15"/>
            <w:spacing w:line="560" w:lineRule="exact"/>
            <w:ind w:firstLine="525" w:firstLineChars="250"/>
            <w:rPr>
              <w:rFonts w:ascii="宋体" w:hAnsi="宋体" w:cstheme="minorBidi"/>
              <w:sz w:val="30"/>
              <w:szCs w:val="30"/>
            </w:rPr>
          </w:pPr>
          <w:r>
            <w:fldChar w:fldCharType="begin"/>
          </w:r>
          <w:r>
            <w:instrText xml:space="preserve"> HYPERLINK \l "_Toc507683723" </w:instrText>
          </w:r>
          <w:r>
            <w:fldChar w:fldCharType="separate"/>
          </w:r>
          <w:r>
            <w:rPr>
              <w:rStyle w:val="28"/>
              <w:rFonts w:hint="eastAsia" w:ascii="宋体" w:hAnsi="宋体"/>
              <w:sz w:val="30"/>
              <w:szCs w:val="30"/>
            </w:rPr>
            <w:t>（三）研发设计服务</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_Toc507683723 \h </w:instrText>
          </w:r>
          <w:r>
            <w:rPr>
              <w:rFonts w:ascii="宋体" w:hAnsi="宋体"/>
              <w:sz w:val="30"/>
              <w:szCs w:val="30"/>
            </w:rPr>
            <w:fldChar w:fldCharType="separate"/>
          </w:r>
          <w:r>
            <w:rPr>
              <w:rFonts w:ascii="宋体" w:hAnsi="宋体"/>
              <w:sz w:val="30"/>
              <w:szCs w:val="30"/>
            </w:rPr>
            <w:t>24</w:t>
          </w:r>
          <w:r>
            <w:rPr>
              <w:rFonts w:ascii="宋体" w:hAnsi="宋体"/>
              <w:sz w:val="30"/>
              <w:szCs w:val="30"/>
            </w:rPr>
            <w:fldChar w:fldCharType="end"/>
          </w:r>
          <w:r>
            <w:rPr>
              <w:rFonts w:ascii="宋体" w:hAnsi="宋体"/>
              <w:sz w:val="30"/>
              <w:szCs w:val="30"/>
            </w:rPr>
            <w:fldChar w:fldCharType="end"/>
          </w:r>
        </w:p>
        <w:p>
          <w:pPr>
            <w:pStyle w:val="15"/>
            <w:spacing w:line="560" w:lineRule="exact"/>
            <w:ind w:firstLine="525" w:firstLineChars="250"/>
            <w:rPr>
              <w:rFonts w:ascii="宋体" w:hAnsi="宋体" w:cstheme="minorBidi"/>
              <w:sz w:val="30"/>
              <w:szCs w:val="30"/>
            </w:rPr>
          </w:pPr>
          <w:r>
            <w:fldChar w:fldCharType="begin"/>
          </w:r>
          <w:r>
            <w:instrText xml:space="preserve"> HYPERLINK \l "_Toc507683724" </w:instrText>
          </w:r>
          <w:r>
            <w:fldChar w:fldCharType="separate"/>
          </w:r>
          <w:r>
            <w:rPr>
              <w:rStyle w:val="28"/>
              <w:rFonts w:hint="eastAsia" w:ascii="宋体" w:hAnsi="宋体"/>
              <w:sz w:val="30"/>
              <w:szCs w:val="30"/>
            </w:rPr>
            <w:t>（四）产品后市场服务</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_Toc507683724 \h </w:instrText>
          </w:r>
          <w:r>
            <w:rPr>
              <w:rFonts w:ascii="宋体" w:hAnsi="宋体"/>
              <w:sz w:val="30"/>
              <w:szCs w:val="30"/>
            </w:rPr>
            <w:fldChar w:fldCharType="separate"/>
          </w:r>
          <w:r>
            <w:rPr>
              <w:rFonts w:ascii="宋体" w:hAnsi="宋体"/>
              <w:sz w:val="30"/>
              <w:szCs w:val="30"/>
            </w:rPr>
            <w:t>24</w:t>
          </w:r>
          <w:r>
            <w:rPr>
              <w:rFonts w:ascii="宋体" w:hAnsi="宋体"/>
              <w:sz w:val="30"/>
              <w:szCs w:val="30"/>
            </w:rPr>
            <w:fldChar w:fldCharType="end"/>
          </w:r>
          <w:r>
            <w:rPr>
              <w:rFonts w:ascii="宋体" w:hAnsi="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"_Toc507683725" </w:instrText>
          </w:r>
          <w:r>
            <w:fldChar w:fldCharType="separate"/>
          </w:r>
          <w:r>
            <w:rPr>
              <w:rStyle w:val="28"/>
              <w:rFonts w:hint="eastAsia" w:ascii="宋体" w:hAnsi="宋体"/>
              <w:sz w:val="30"/>
              <w:szCs w:val="30"/>
            </w:rPr>
            <w:t>第四章</w:t>
          </w:r>
          <w:r>
            <w:rPr>
              <w:rStyle w:val="28"/>
              <w:rFonts w:ascii="宋体" w:hAnsi="宋体"/>
              <w:sz w:val="30"/>
              <w:szCs w:val="30"/>
            </w:rPr>
            <w:t xml:space="preserve"> </w:t>
          </w:r>
          <w:r>
            <w:rPr>
              <w:rStyle w:val="28"/>
              <w:rFonts w:hint="eastAsia" w:ascii="宋体" w:hAnsi="宋体"/>
              <w:sz w:val="30"/>
              <w:szCs w:val="30"/>
            </w:rPr>
            <w:t>产业空间布局</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_Toc507683725 \h </w:instrText>
          </w:r>
          <w:r>
            <w:rPr>
              <w:rFonts w:ascii="宋体" w:hAnsi="宋体"/>
              <w:sz w:val="30"/>
              <w:szCs w:val="30"/>
            </w:rPr>
            <w:fldChar w:fldCharType="separate"/>
          </w:r>
          <w:r>
            <w:rPr>
              <w:rFonts w:ascii="宋体" w:hAnsi="宋体"/>
              <w:sz w:val="30"/>
              <w:szCs w:val="30"/>
            </w:rPr>
            <w:t>25</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"_Toc507683726" </w:instrText>
          </w:r>
          <w:r>
            <w:fldChar w:fldCharType="separate"/>
          </w:r>
          <w:r>
            <w:rPr>
              <w:rStyle w:val="28"/>
              <w:rFonts w:hint="eastAsia" w:ascii="宋体" w:hAnsi="宋体" w:eastAsia="宋体"/>
              <w:sz w:val="30"/>
              <w:szCs w:val="30"/>
            </w:rPr>
            <w:t>一、打造产业核心集聚区</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_Toc507683726 \h </w:instrText>
          </w:r>
          <w:r>
            <w:rPr>
              <w:rFonts w:ascii="宋体" w:hAnsi="宋体" w:eastAsia="宋体"/>
              <w:sz w:val="30"/>
              <w:szCs w:val="30"/>
            </w:rPr>
            <w:fldChar w:fldCharType="separate"/>
          </w:r>
          <w:r>
            <w:rPr>
              <w:rFonts w:ascii="宋体" w:hAnsi="宋体" w:eastAsia="宋体"/>
              <w:sz w:val="30"/>
              <w:szCs w:val="30"/>
            </w:rPr>
            <w:t>25</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"_Toc507683727" </w:instrText>
          </w:r>
          <w:r>
            <w:fldChar w:fldCharType="separate"/>
          </w:r>
          <w:r>
            <w:rPr>
              <w:rStyle w:val="28"/>
              <w:rFonts w:hint="eastAsia" w:ascii="宋体" w:hAnsi="宋体" w:eastAsia="宋体"/>
              <w:sz w:val="30"/>
              <w:szCs w:val="30"/>
            </w:rPr>
            <w:t>二、建设产业环形发展带</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_Toc507683727 \h </w:instrText>
          </w:r>
          <w:r>
            <w:rPr>
              <w:rFonts w:ascii="宋体" w:hAnsi="宋体" w:eastAsia="宋体"/>
              <w:sz w:val="30"/>
              <w:szCs w:val="30"/>
            </w:rPr>
            <w:fldChar w:fldCharType="separate"/>
          </w:r>
          <w:r>
            <w:rPr>
              <w:rFonts w:ascii="宋体" w:hAnsi="宋体" w:eastAsia="宋体"/>
              <w:sz w:val="30"/>
              <w:szCs w:val="30"/>
            </w:rPr>
            <w:t>26</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"_Toc507683728" </w:instrText>
          </w:r>
          <w:r>
            <w:fldChar w:fldCharType="separate"/>
          </w:r>
          <w:r>
            <w:rPr>
              <w:rStyle w:val="28"/>
              <w:rFonts w:hint="eastAsia" w:ascii="宋体" w:hAnsi="宋体" w:eastAsia="宋体"/>
              <w:sz w:val="30"/>
              <w:szCs w:val="30"/>
            </w:rPr>
            <w:t>三、推动产业点状发展</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_Toc507683728 \h </w:instrText>
          </w:r>
          <w:r>
            <w:rPr>
              <w:rFonts w:ascii="宋体" w:hAnsi="宋体" w:eastAsia="宋体"/>
              <w:sz w:val="30"/>
              <w:szCs w:val="30"/>
            </w:rPr>
            <w:fldChar w:fldCharType="separate"/>
          </w:r>
          <w:r>
            <w:rPr>
              <w:rFonts w:ascii="宋体" w:hAnsi="宋体" w:eastAsia="宋体"/>
              <w:sz w:val="30"/>
              <w:szCs w:val="30"/>
            </w:rPr>
            <w:t>27</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"_Toc507683729" </w:instrText>
          </w:r>
          <w:r>
            <w:fldChar w:fldCharType="separate"/>
          </w:r>
          <w:r>
            <w:rPr>
              <w:rStyle w:val="28"/>
              <w:rFonts w:hint="eastAsia" w:ascii="宋体" w:hAnsi="宋体"/>
              <w:sz w:val="30"/>
              <w:szCs w:val="30"/>
            </w:rPr>
            <w:t>第五章</w:t>
          </w:r>
          <w:r>
            <w:rPr>
              <w:rStyle w:val="28"/>
              <w:rFonts w:ascii="宋体" w:hAnsi="宋体"/>
              <w:sz w:val="30"/>
              <w:szCs w:val="30"/>
            </w:rPr>
            <w:t xml:space="preserve"> </w:t>
          </w:r>
          <w:r>
            <w:rPr>
              <w:rStyle w:val="28"/>
              <w:rFonts w:hint="eastAsia" w:ascii="宋体" w:hAnsi="宋体"/>
              <w:sz w:val="30"/>
              <w:szCs w:val="30"/>
            </w:rPr>
            <w:t>主要任务</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_Toc507683729 \h </w:instrText>
          </w:r>
          <w:r>
            <w:rPr>
              <w:rFonts w:ascii="宋体" w:hAnsi="宋体"/>
              <w:sz w:val="30"/>
              <w:szCs w:val="30"/>
            </w:rPr>
            <w:fldChar w:fldCharType="separate"/>
          </w:r>
          <w:r>
            <w:rPr>
              <w:rFonts w:ascii="宋体" w:hAnsi="宋体"/>
              <w:sz w:val="30"/>
              <w:szCs w:val="30"/>
            </w:rPr>
            <w:t>28</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"_Toc507683730" </w:instrText>
          </w:r>
          <w:r>
            <w:fldChar w:fldCharType="separate"/>
          </w:r>
          <w:r>
            <w:rPr>
              <w:rStyle w:val="28"/>
              <w:rFonts w:hint="eastAsia" w:ascii="宋体" w:hAnsi="宋体" w:eastAsia="宋体"/>
              <w:sz w:val="30"/>
              <w:szCs w:val="30"/>
            </w:rPr>
            <w:t>一、智能制造引领行动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_Toc507683730 \h </w:instrText>
          </w:r>
          <w:r>
            <w:rPr>
              <w:rFonts w:ascii="宋体" w:hAnsi="宋体" w:eastAsia="宋体"/>
              <w:sz w:val="30"/>
              <w:szCs w:val="30"/>
            </w:rPr>
            <w:fldChar w:fldCharType="separate"/>
          </w:r>
          <w:r>
            <w:rPr>
              <w:rFonts w:ascii="宋体" w:hAnsi="宋体" w:eastAsia="宋体"/>
              <w:sz w:val="30"/>
              <w:szCs w:val="30"/>
            </w:rPr>
            <w:t>28</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"_Toc507683731" </w:instrText>
          </w:r>
          <w:r>
            <w:fldChar w:fldCharType="separate"/>
          </w:r>
          <w:r>
            <w:rPr>
              <w:rStyle w:val="28"/>
              <w:rFonts w:hint="eastAsia" w:ascii="宋体" w:hAnsi="宋体" w:eastAsia="宋体" w:cs="Times New Roman"/>
              <w:kern w:val="0"/>
              <w:sz w:val="30"/>
              <w:szCs w:val="30"/>
              <w:lang w:val="zh-CN"/>
            </w:rPr>
            <w:t>（一）加快</w:t>
          </w:r>
          <w:r>
            <w:rPr>
              <w:rStyle w:val="28"/>
              <w:rFonts w:hint="eastAsia" w:ascii="宋体" w:hAnsi="宋体" w:eastAsia="宋体" w:cs="Times New Roman"/>
              <w:kern w:val="0"/>
              <w:sz w:val="30"/>
              <w:szCs w:val="30"/>
            </w:rPr>
            <w:t>广西</w:t>
          </w:r>
          <w:r>
            <w:rPr>
              <w:rStyle w:val="28"/>
              <w:rFonts w:hint="eastAsia" w:ascii="宋体" w:hAnsi="宋体" w:eastAsia="宋体" w:cs="Times New Roman"/>
              <w:kern w:val="0"/>
              <w:sz w:val="30"/>
              <w:szCs w:val="30"/>
              <w:lang w:val="zh-CN"/>
            </w:rPr>
            <w:t>智能制造城建设</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_Toc507683731 \h </w:instrText>
          </w:r>
          <w:r>
            <w:rPr>
              <w:rFonts w:ascii="宋体" w:hAnsi="宋体" w:eastAsia="宋体"/>
              <w:sz w:val="30"/>
              <w:szCs w:val="30"/>
            </w:rPr>
            <w:fldChar w:fldCharType="separate"/>
          </w:r>
          <w:r>
            <w:rPr>
              <w:rFonts w:ascii="宋体" w:hAnsi="宋体" w:eastAsia="宋体"/>
              <w:sz w:val="30"/>
              <w:szCs w:val="30"/>
            </w:rPr>
            <w:t>28</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"_Toc507683732" </w:instrText>
          </w:r>
          <w:r>
            <w:fldChar w:fldCharType="separate"/>
          </w:r>
          <w:r>
            <w:rPr>
              <w:rStyle w:val="28"/>
              <w:rFonts w:hint="eastAsia" w:ascii="宋体" w:hAnsi="宋体" w:eastAsia="宋体" w:cs="Times New Roman"/>
              <w:kern w:val="0"/>
              <w:sz w:val="30"/>
              <w:szCs w:val="30"/>
              <w:lang w:val="zh-CN"/>
            </w:rPr>
            <w:t>（二）推进两化深度融合</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_Toc507683732 \h </w:instrText>
          </w:r>
          <w:r>
            <w:rPr>
              <w:rFonts w:ascii="宋体" w:hAnsi="宋体" w:eastAsia="宋体"/>
              <w:sz w:val="30"/>
              <w:szCs w:val="30"/>
            </w:rPr>
            <w:fldChar w:fldCharType="separate"/>
          </w:r>
          <w:r>
            <w:rPr>
              <w:rFonts w:ascii="宋体" w:hAnsi="宋体" w:eastAsia="宋体"/>
              <w:sz w:val="30"/>
              <w:szCs w:val="30"/>
            </w:rPr>
            <w:t>29</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"_Toc507683733" </w:instrText>
          </w:r>
          <w:r>
            <w:fldChar w:fldCharType="separate"/>
          </w:r>
          <w:r>
            <w:rPr>
              <w:rStyle w:val="28"/>
              <w:rFonts w:hint="eastAsia" w:ascii="宋体" w:hAnsi="宋体" w:eastAsia="宋体" w:cs="Times New Roman"/>
              <w:kern w:val="0"/>
              <w:sz w:val="30"/>
              <w:szCs w:val="30"/>
              <w:lang w:val="zh-CN"/>
            </w:rPr>
            <w:t>（三）实施“互联网＋”行动计划</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_Toc507683733 \h </w:instrText>
          </w:r>
          <w:r>
            <w:rPr>
              <w:rFonts w:ascii="宋体" w:hAnsi="宋体" w:eastAsia="宋体"/>
              <w:sz w:val="30"/>
              <w:szCs w:val="30"/>
            </w:rPr>
            <w:fldChar w:fldCharType="separate"/>
          </w:r>
          <w:r>
            <w:rPr>
              <w:rFonts w:ascii="宋体" w:hAnsi="宋体" w:eastAsia="宋体"/>
              <w:sz w:val="30"/>
              <w:szCs w:val="30"/>
            </w:rPr>
            <w:t>29</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"_Toc507683734" </w:instrText>
          </w:r>
          <w:r>
            <w:fldChar w:fldCharType="separate"/>
          </w:r>
          <w:r>
            <w:rPr>
              <w:rStyle w:val="28"/>
              <w:rFonts w:hint="eastAsia" w:ascii="宋体" w:hAnsi="宋体" w:eastAsia="宋体"/>
              <w:sz w:val="30"/>
              <w:szCs w:val="30"/>
            </w:rPr>
            <w:t>二、服务型制造突破行动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_Toc507683734 \h </w:instrText>
          </w:r>
          <w:r>
            <w:rPr>
              <w:rFonts w:ascii="宋体" w:hAnsi="宋体" w:eastAsia="宋体"/>
              <w:sz w:val="30"/>
              <w:szCs w:val="30"/>
            </w:rPr>
            <w:fldChar w:fldCharType="separate"/>
          </w:r>
          <w:r>
            <w:rPr>
              <w:rFonts w:ascii="宋体" w:hAnsi="宋体" w:eastAsia="宋体"/>
              <w:sz w:val="30"/>
              <w:szCs w:val="30"/>
            </w:rPr>
            <w:t>30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"_Toc507683735" </w:instrText>
          </w:r>
          <w:r>
            <w:fldChar w:fldCharType="separate"/>
          </w:r>
          <w:r>
            <w:rPr>
              <w:rStyle w:val="28"/>
              <w:rFonts w:hint="eastAsia" w:ascii="宋体" w:hAnsi="宋体" w:eastAsia="宋体" w:cs="Times New Roman"/>
              <w:kern w:val="0"/>
              <w:sz w:val="30"/>
              <w:szCs w:val="30"/>
              <w:lang w:val="zh-CN"/>
            </w:rPr>
            <w:t>（一）大力发展工业设计</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_Toc507683735 \h </w:instrText>
          </w:r>
          <w:r>
            <w:rPr>
              <w:rFonts w:ascii="宋体" w:hAnsi="宋体" w:eastAsia="宋体"/>
              <w:sz w:val="30"/>
              <w:szCs w:val="30"/>
            </w:rPr>
            <w:fldChar w:fldCharType="separate"/>
          </w:r>
          <w:r>
            <w:rPr>
              <w:rFonts w:ascii="宋体" w:hAnsi="宋体" w:eastAsia="宋体"/>
              <w:sz w:val="30"/>
              <w:szCs w:val="30"/>
            </w:rPr>
            <w:t>30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"_Toc507683736" </w:instrText>
          </w:r>
          <w:r>
            <w:fldChar w:fldCharType="separate"/>
          </w:r>
          <w:r>
            <w:rPr>
              <w:rStyle w:val="28"/>
              <w:rFonts w:hint="eastAsia" w:ascii="宋体" w:hAnsi="宋体" w:eastAsia="宋体" w:cs="Times New Roman"/>
              <w:kern w:val="0"/>
              <w:sz w:val="30"/>
              <w:szCs w:val="30"/>
              <w:lang w:val="zh-CN"/>
            </w:rPr>
            <w:t>（</w:t>
          </w:r>
          <w:r>
            <w:rPr>
              <w:rStyle w:val="28"/>
              <w:rFonts w:hint="eastAsia" w:ascii="宋体" w:hAnsi="宋体" w:eastAsia="宋体" w:cs="Times New Roman"/>
              <w:kern w:val="0"/>
              <w:sz w:val="30"/>
              <w:szCs w:val="30"/>
            </w:rPr>
            <w:t>二</w:t>
          </w:r>
          <w:r>
            <w:rPr>
              <w:rStyle w:val="28"/>
              <w:rFonts w:hint="eastAsia" w:ascii="宋体" w:hAnsi="宋体" w:eastAsia="宋体" w:cs="Times New Roman"/>
              <w:kern w:val="0"/>
              <w:sz w:val="30"/>
              <w:szCs w:val="30"/>
              <w:lang w:val="zh-CN"/>
            </w:rPr>
            <w:t>）</w:t>
          </w:r>
          <w:r>
            <w:rPr>
              <w:rStyle w:val="28"/>
              <w:rFonts w:hint="eastAsia" w:ascii="宋体" w:hAnsi="宋体" w:eastAsia="宋体" w:cs="Times New Roman"/>
              <w:kern w:val="0"/>
              <w:sz w:val="30"/>
              <w:szCs w:val="30"/>
            </w:rPr>
            <w:t>加快</w:t>
          </w:r>
          <w:r>
            <w:rPr>
              <w:rStyle w:val="28"/>
              <w:rFonts w:hint="eastAsia" w:ascii="宋体" w:hAnsi="宋体" w:eastAsia="宋体" w:cs="Times New Roman"/>
              <w:kern w:val="0"/>
              <w:sz w:val="30"/>
              <w:szCs w:val="30"/>
              <w:lang w:val="zh-CN"/>
            </w:rPr>
            <w:t>发展电子商务</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_Toc507683736 \h </w:instrText>
          </w:r>
          <w:r>
            <w:rPr>
              <w:rFonts w:ascii="宋体" w:hAnsi="宋体" w:eastAsia="宋体"/>
              <w:sz w:val="30"/>
              <w:szCs w:val="30"/>
            </w:rPr>
            <w:fldChar w:fldCharType="separate"/>
          </w:r>
          <w:r>
            <w:rPr>
              <w:rFonts w:ascii="宋体" w:hAnsi="宋体" w:eastAsia="宋体"/>
              <w:sz w:val="30"/>
              <w:szCs w:val="30"/>
            </w:rPr>
            <w:t>30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"_Toc507683737" </w:instrText>
          </w:r>
          <w:r>
            <w:fldChar w:fldCharType="separate"/>
          </w:r>
          <w:r>
            <w:rPr>
              <w:rStyle w:val="28"/>
              <w:rFonts w:hint="eastAsia" w:ascii="宋体" w:hAnsi="宋体" w:eastAsia="宋体" w:cs="Times New Roman"/>
              <w:kern w:val="0"/>
              <w:sz w:val="30"/>
              <w:szCs w:val="30"/>
              <w:lang w:val="zh-CN"/>
            </w:rPr>
            <w:t>（</w:t>
          </w:r>
          <w:r>
            <w:rPr>
              <w:rStyle w:val="28"/>
              <w:rFonts w:hint="eastAsia" w:ascii="宋体" w:hAnsi="宋体" w:eastAsia="宋体" w:cs="Times New Roman"/>
              <w:kern w:val="0"/>
              <w:sz w:val="30"/>
              <w:szCs w:val="30"/>
            </w:rPr>
            <w:t>三</w:t>
          </w:r>
          <w:r>
            <w:rPr>
              <w:rStyle w:val="28"/>
              <w:rFonts w:hint="eastAsia" w:ascii="宋体" w:hAnsi="宋体" w:eastAsia="宋体" w:cs="Times New Roman"/>
              <w:kern w:val="0"/>
              <w:sz w:val="30"/>
              <w:szCs w:val="30"/>
              <w:lang w:val="zh-CN"/>
            </w:rPr>
            <w:t>）</w:t>
          </w:r>
          <w:r>
            <w:rPr>
              <w:rStyle w:val="28"/>
              <w:rFonts w:hint="eastAsia" w:ascii="宋体" w:hAnsi="宋体" w:eastAsia="宋体" w:cs="Times New Roman"/>
              <w:kern w:val="0"/>
              <w:sz w:val="30"/>
              <w:szCs w:val="30"/>
            </w:rPr>
            <w:t>着力</w:t>
          </w:r>
          <w:r>
            <w:rPr>
              <w:rStyle w:val="28"/>
              <w:rFonts w:hint="eastAsia" w:ascii="宋体" w:hAnsi="宋体" w:eastAsia="宋体" w:cs="Times New Roman"/>
              <w:kern w:val="0"/>
              <w:sz w:val="30"/>
              <w:szCs w:val="30"/>
              <w:lang w:val="zh-CN"/>
            </w:rPr>
            <w:t>发展现代物流</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_Toc507683737 \h </w:instrText>
          </w:r>
          <w:r>
            <w:rPr>
              <w:rFonts w:ascii="宋体" w:hAnsi="宋体" w:eastAsia="宋体"/>
              <w:sz w:val="30"/>
              <w:szCs w:val="30"/>
            </w:rPr>
            <w:fldChar w:fldCharType="separate"/>
          </w:r>
          <w:r>
            <w:rPr>
              <w:rFonts w:ascii="宋体" w:hAnsi="宋体" w:eastAsia="宋体"/>
              <w:sz w:val="30"/>
              <w:szCs w:val="30"/>
            </w:rPr>
            <w:t>31</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"_Toc507683738" </w:instrText>
          </w:r>
          <w:r>
            <w:fldChar w:fldCharType="separate"/>
          </w:r>
          <w:r>
            <w:rPr>
              <w:rStyle w:val="28"/>
              <w:rFonts w:hint="eastAsia" w:ascii="宋体" w:hAnsi="宋体" w:eastAsia="宋体"/>
              <w:sz w:val="30"/>
              <w:szCs w:val="30"/>
            </w:rPr>
            <w:t>三、创新能力提升行动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_Toc507683738 \h </w:instrText>
          </w:r>
          <w:r>
            <w:rPr>
              <w:rFonts w:ascii="宋体" w:hAnsi="宋体" w:eastAsia="宋体"/>
              <w:sz w:val="30"/>
              <w:szCs w:val="30"/>
            </w:rPr>
            <w:fldChar w:fldCharType="separate"/>
          </w:r>
          <w:r>
            <w:rPr>
              <w:rFonts w:ascii="宋体" w:hAnsi="宋体" w:eastAsia="宋体"/>
              <w:sz w:val="30"/>
              <w:szCs w:val="30"/>
            </w:rPr>
            <w:t>31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"_Toc507683739" </w:instrText>
          </w:r>
          <w:r>
            <w:fldChar w:fldCharType="separate"/>
          </w:r>
          <w:r>
            <w:rPr>
              <w:rStyle w:val="28"/>
              <w:rFonts w:hint="eastAsia" w:ascii="宋体" w:hAnsi="宋体" w:eastAsia="宋体" w:cs="Times New Roman"/>
              <w:kern w:val="0"/>
              <w:sz w:val="30"/>
              <w:szCs w:val="30"/>
              <w:lang w:val="zh-CN"/>
            </w:rPr>
            <w:t>（一）加强产业创新载体建设</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_Toc507683739 \h </w:instrText>
          </w:r>
          <w:r>
            <w:rPr>
              <w:rFonts w:ascii="宋体" w:hAnsi="宋体" w:eastAsia="宋体"/>
              <w:sz w:val="30"/>
              <w:szCs w:val="30"/>
            </w:rPr>
            <w:fldChar w:fldCharType="separate"/>
          </w:r>
          <w:r>
            <w:rPr>
              <w:rFonts w:ascii="宋体" w:hAnsi="宋体" w:eastAsia="宋体"/>
              <w:sz w:val="30"/>
              <w:szCs w:val="30"/>
            </w:rPr>
            <w:t>31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"_Toc507683740" </w:instrText>
          </w:r>
          <w:r>
            <w:fldChar w:fldCharType="separate"/>
          </w:r>
          <w:r>
            <w:rPr>
              <w:rStyle w:val="28"/>
              <w:rFonts w:hint="eastAsia" w:ascii="宋体" w:hAnsi="宋体" w:eastAsia="宋体" w:cs="Times New Roman"/>
              <w:kern w:val="0"/>
              <w:sz w:val="30"/>
              <w:szCs w:val="30"/>
              <w:lang w:val="zh-CN"/>
            </w:rPr>
            <w:t>（二）开展关键核心技术攻关</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_Toc507683740 \h </w:instrText>
          </w:r>
          <w:r>
            <w:rPr>
              <w:rFonts w:ascii="宋体" w:hAnsi="宋体" w:eastAsia="宋体"/>
              <w:sz w:val="30"/>
              <w:szCs w:val="30"/>
            </w:rPr>
            <w:fldChar w:fldCharType="separate"/>
          </w:r>
          <w:r>
            <w:rPr>
              <w:rFonts w:ascii="宋体" w:hAnsi="宋体" w:eastAsia="宋体"/>
              <w:sz w:val="30"/>
              <w:szCs w:val="30"/>
            </w:rPr>
            <w:t>32</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"_Toc507683741" </w:instrText>
          </w:r>
          <w:r>
            <w:fldChar w:fldCharType="separate"/>
          </w:r>
          <w:r>
            <w:rPr>
              <w:rStyle w:val="28"/>
              <w:rFonts w:hint="eastAsia" w:ascii="宋体" w:hAnsi="宋体" w:eastAsia="宋体" w:cs="Times New Roman"/>
              <w:kern w:val="0"/>
              <w:sz w:val="30"/>
              <w:szCs w:val="30"/>
              <w:lang w:val="zh-CN"/>
            </w:rPr>
            <w:t>（三）推进创新成果产业化</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_Toc507683741 \h </w:instrText>
          </w:r>
          <w:r>
            <w:rPr>
              <w:rFonts w:ascii="宋体" w:hAnsi="宋体" w:eastAsia="宋体"/>
              <w:sz w:val="30"/>
              <w:szCs w:val="30"/>
            </w:rPr>
            <w:fldChar w:fldCharType="separate"/>
          </w:r>
          <w:r>
            <w:rPr>
              <w:rFonts w:ascii="宋体" w:hAnsi="宋体" w:eastAsia="宋体"/>
              <w:sz w:val="30"/>
              <w:szCs w:val="30"/>
            </w:rPr>
            <w:t>32</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"_Toc507683742" </w:instrText>
          </w:r>
          <w:r>
            <w:fldChar w:fldCharType="separate"/>
          </w:r>
          <w:r>
            <w:rPr>
              <w:rStyle w:val="28"/>
              <w:rFonts w:hint="eastAsia" w:ascii="宋体" w:hAnsi="宋体" w:eastAsia="宋体"/>
              <w:sz w:val="30"/>
              <w:szCs w:val="30"/>
            </w:rPr>
            <w:t>四、重大项目建设行动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_Toc507683742 \h </w:instrText>
          </w:r>
          <w:r>
            <w:rPr>
              <w:rFonts w:ascii="宋体" w:hAnsi="宋体" w:eastAsia="宋体"/>
              <w:sz w:val="30"/>
              <w:szCs w:val="30"/>
            </w:rPr>
            <w:fldChar w:fldCharType="separate"/>
          </w:r>
          <w:r>
            <w:rPr>
              <w:rFonts w:ascii="宋体" w:hAnsi="宋体" w:eastAsia="宋体"/>
              <w:sz w:val="30"/>
              <w:szCs w:val="30"/>
            </w:rPr>
            <w:t>32</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"_Toc507683743" </w:instrText>
          </w:r>
          <w:r>
            <w:fldChar w:fldCharType="separate"/>
          </w:r>
          <w:r>
            <w:rPr>
              <w:rStyle w:val="28"/>
              <w:rFonts w:hint="eastAsia" w:ascii="宋体" w:hAnsi="宋体" w:eastAsia="宋体" w:cs="Times New Roman"/>
              <w:kern w:val="0"/>
              <w:sz w:val="30"/>
              <w:szCs w:val="30"/>
              <w:lang w:val="zh-CN"/>
            </w:rPr>
            <w:t>（一）加强项目统筹推进</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_Toc507683743 \h </w:instrText>
          </w:r>
          <w:r>
            <w:rPr>
              <w:rFonts w:ascii="宋体" w:hAnsi="宋体" w:eastAsia="宋体"/>
              <w:sz w:val="30"/>
              <w:szCs w:val="30"/>
            </w:rPr>
            <w:fldChar w:fldCharType="separate"/>
          </w:r>
          <w:r>
            <w:rPr>
              <w:rFonts w:ascii="宋体" w:hAnsi="宋体" w:eastAsia="宋体"/>
              <w:sz w:val="30"/>
              <w:szCs w:val="30"/>
            </w:rPr>
            <w:t>33</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"_Toc507683744" </w:instrText>
          </w:r>
          <w:r>
            <w:fldChar w:fldCharType="separate"/>
          </w:r>
          <w:r>
            <w:rPr>
              <w:rStyle w:val="28"/>
              <w:rFonts w:hint="eastAsia" w:ascii="宋体" w:hAnsi="宋体" w:eastAsia="宋体" w:cs="Times New Roman"/>
              <w:kern w:val="0"/>
              <w:sz w:val="30"/>
              <w:szCs w:val="30"/>
              <w:lang w:val="zh-CN"/>
            </w:rPr>
            <w:t>（</w:t>
          </w:r>
          <w:r>
            <w:rPr>
              <w:rStyle w:val="28"/>
              <w:rFonts w:hint="eastAsia" w:ascii="宋体" w:hAnsi="宋体" w:eastAsia="宋体" w:cs="Times New Roman"/>
              <w:kern w:val="0"/>
              <w:sz w:val="30"/>
              <w:szCs w:val="30"/>
            </w:rPr>
            <w:t>二</w:t>
          </w:r>
          <w:r>
            <w:rPr>
              <w:rStyle w:val="28"/>
              <w:rFonts w:hint="eastAsia" w:ascii="宋体" w:hAnsi="宋体" w:eastAsia="宋体" w:cs="Times New Roman"/>
              <w:kern w:val="0"/>
              <w:sz w:val="30"/>
              <w:szCs w:val="30"/>
              <w:lang w:val="zh-CN"/>
            </w:rPr>
            <w:t>）强化项目管理</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_Toc507683744 \h </w:instrText>
          </w:r>
          <w:r>
            <w:rPr>
              <w:rFonts w:ascii="宋体" w:hAnsi="宋体" w:eastAsia="宋体"/>
              <w:sz w:val="30"/>
              <w:szCs w:val="30"/>
            </w:rPr>
            <w:fldChar w:fldCharType="separate"/>
          </w:r>
          <w:r>
            <w:rPr>
              <w:rFonts w:ascii="宋体" w:hAnsi="宋体" w:eastAsia="宋体"/>
              <w:sz w:val="30"/>
              <w:szCs w:val="30"/>
            </w:rPr>
            <w:t>33</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"_Toc507683745" </w:instrText>
          </w:r>
          <w:r>
            <w:fldChar w:fldCharType="separate"/>
          </w:r>
          <w:r>
            <w:rPr>
              <w:rStyle w:val="28"/>
              <w:rFonts w:hint="eastAsia" w:ascii="宋体" w:hAnsi="宋体" w:eastAsia="宋体" w:cs="Times New Roman"/>
              <w:kern w:val="0"/>
              <w:sz w:val="30"/>
              <w:szCs w:val="30"/>
              <w:lang w:val="zh-CN"/>
            </w:rPr>
            <w:t>（三）加强项目协调服务</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_Toc507683745 \h </w:instrText>
          </w:r>
          <w:r>
            <w:rPr>
              <w:rFonts w:ascii="宋体" w:hAnsi="宋体" w:eastAsia="宋体"/>
              <w:sz w:val="30"/>
              <w:szCs w:val="30"/>
            </w:rPr>
            <w:fldChar w:fldCharType="separate"/>
          </w:r>
          <w:r>
            <w:rPr>
              <w:rFonts w:ascii="宋体" w:hAnsi="宋体" w:eastAsia="宋体"/>
              <w:sz w:val="30"/>
              <w:szCs w:val="30"/>
            </w:rPr>
            <w:t>34</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"_Toc507683746" </w:instrText>
          </w:r>
          <w:r>
            <w:fldChar w:fldCharType="separate"/>
          </w:r>
          <w:r>
            <w:rPr>
              <w:rStyle w:val="28"/>
              <w:rFonts w:hint="eastAsia" w:ascii="宋体" w:hAnsi="宋体" w:eastAsia="宋体"/>
              <w:sz w:val="30"/>
              <w:szCs w:val="30"/>
            </w:rPr>
            <w:t>五、强优企业培育行动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_Toc507683746 \h </w:instrText>
          </w:r>
          <w:r>
            <w:rPr>
              <w:rFonts w:ascii="宋体" w:hAnsi="宋体" w:eastAsia="宋体"/>
              <w:sz w:val="30"/>
              <w:szCs w:val="30"/>
            </w:rPr>
            <w:fldChar w:fldCharType="separate"/>
          </w:r>
          <w:r>
            <w:rPr>
              <w:rFonts w:ascii="宋体" w:hAnsi="宋体" w:eastAsia="宋体"/>
              <w:sz w:val="30"/>
              <w:szCs w:val="30"/>
            </w:rPr>
            <w:t>34</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"_Toc507683747" </w:instrText>
          </w:r>
          <w:r>
            <w:fldChar w:fldCharType="separate"/>
          </w:r>
          <w:r>
            <w:rPr>
              <w:rStyle w:val="28"/>
              <w:rFonts w:hint="eastAsia" w:ascii="宋体" w:hAnsi="宋体" w:eastAsia="宋体" w:cs="Times New Roman"/>
              <w:kern w:val="0"/>
              <w:sz w:val="30"/>
              <w:szCs w:val="30"/>
              <w:lang w:val="zh-CN"/>
            </w:rPr>
            <w:t>（一）培育龙头领军企业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_Toc507683747 \h </w:instrText>
          </w:r>
          <w:r>
            <w:rPr>
              <w:rFonts w:ascii="宋体" w:hAnsi="宋体" w:eastAsia="宋体"/>
              <w:sz w:val="30"/>
              <w:szCs w:val="30"/>
            </w:rPr>
            <w:fldChar w:fldCharType="separate"/>
          </w:r>
          <w:r>
            <w:rPr>
              <w:rFonts w:ascii="宋体" w:hAnsi="宋体" w:eastAsia="宋体"/>
              <w:sz w:val="30"/>
              <w:szCs w:val="30"/>
            </w:rPr>
            <w:t>34</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"_Toc507683748" </w:instrText>
          </w:r>
          <w:r>
            <w:fldChar w:fldCharType="separate"/>
          </w:r>
          <w:r>
            <w:rPr>
              <w:rStyle w:val="28"/>
              <w:rFonts w:hint="eastAsia" w:ascii="宋体" w:hAnsi="宋体" w:eastAsia="宋体" w:cs="Times New Roman"/>
              <w:kern w:val="0"/>
              <w:sz w:val="30"/>
              <w:szCs w:val="30"/>
              <w:lang w:val="zh-CN"/>
            </w:rPr>
            <w:t>（二）扶持发展骨干企业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_Toc507683748 \h </w:instrText>
          </w:r>
          <w:r>
            <w:rPr>
              <w:rFonts w:ascii="宋体" w:hAnsi="宋体" w:eastAsia="宋体"/>
              <w:sz w:val="30"/>
              <w:szCs w:val="30"/>
            </w:rPr>
            <w:fldChar w:fldCharType="separate"/>
          </w:r>
          <w:r>
            <w:rPr>
              <w:rFonts w:ascii="宋体" w:hAnsi="宋体" w:eastAsia="宋体"/>
              <w:sz w:val="30"/>
              <w:szCs w:val="30"/>
            </w:rPr>
            <w:t>35</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"_Toc507683749" </w:instrText>
          </w:r>
          <w:r>
            <w:fldChar w:fldCharType="separate"/>
          </w:r>
          <w:r>
            <w:rPr>
              <w:rStyle w:val="28"/>
              <w:rFonts w:hint="eastAsia" w:ascii="宋体" w:hAnsi="宋体" w:eastAsia="宋体" w:cs="Times New Roman"/>
              <w:kern w:val="0"/>
              <w:sz w:val="30"/>
              <w:szCs w:val="30"/>
              <w:lang w:val="zh-CN"/>
            </w:rPr>
            <w:t>（三）着力发展特色企业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_Toc507683749 \h </w:instrText>
          </w:r>
          <w:r>
            <w:rPr>
              <w:rFonts w:ascii="宋体" w:hAnsi="宋体" w:eastAsia="宋体"/>
              <w:sz w:val="30"/>
              <w:szCs w:val="30"/>
            </w:rPr>
            <w:fldChar w:fldCharType="separate"/>
          </w:r>
          <w:r>
            <w:rPr>
              <w:rFonts w:ascii="宋体" w:hAnsi="宋体" w:eastAsia="宋体"/>
              <w:sz w:val="30"/>
              <w:szCs w:val="30"/>
            </w:rPr>
            <w:t>35</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"_Toc507683750" </w:instrText>
          </w:r>
          <w:r>
            <w:fldChar w:fldCharType="separate"/>
          </w:r>
          <w:r>
            <w:rPr>
              <w:rStyle w:val="28"/>
              <w:rFonts w:hint="eastAsia" w:ascii="宋体" w:hAnsi="宋体" w:eastAsia="宋体"/>
              <w:sz w:val="30"/>
              <w:szCs w:val="30"/>
            </w:rPr>
            <w:t>六、产业集聚发展行动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_Toc507683750 \h </w:instrText>
          </w:r>
          <w:r>
            <w:rPr>
              <w:rFonts w:ascii="宋体" w:hAnsi="宋体" w:eastAsia="宋体"/>
              <w:sz w:val="30"/>
              <w:szCs w:val="30"/>
            </w:rPr>
            <w:fldChar w:fldCharType="separate"/>
          </w:r>
          <w:r>
            <w:rPr>
              <w:rFonts w:ascii="宋体" w:hAnsi="宋体" w:eastAsia="宋体"/>
              <w:sz w:val="30"/>
              <w:szCs w:val="30"/>
            </w:rPr>
            <w:t>35</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"_Toc507683751" </w:instrText>
          </w:r>
          <w:r>
            <w:fldChar w:fldCharType="separate"/>
          </w:r>
          <w:r>
            <w:rPr>
              <w:rStyle w:val="28"/>
              <w:rFonts w:hint="eastAsia" w:ascii="宋体" w:hAnsi="宋体" w:eastAsia="宋体" w:cs="Times New Roman"/>
              <w:kern w:val="0"/>
              <w:sz w:val="30"/>
              <w:szCs w:val="30"/>
              <w:lang w:val="zh-CN"/>
            </w:rPr>
            <w:t>（一）培育优势产业集群</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_Toc507683751 \h </w:instrText>
          </w:r>
          <w:r>
            <w:rPr>
              <w:rFonts w:ascii="宋体" w:hAnsi="宋体" w:eastAsia="宋体"/>
              <w:sz w:val="30"/>
              <w:szCs w:val="30"/>
            </w:rPr>
            <w:fldChar w:fldCharType="separate"/>
          </w:r>
          <w:r>
            <w:rPr>
              <w:rFonts w:ascii="宋体" w:hAnsi="宋体" w:eastAsia="宋体"/>
              <w:sz w:val="30"/>
              <w:szCs w:val="30"/>
            </w:rPr>
            <w:t>36</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"_Toc507683752" </w:instrText>
          </w:r>
          <w:r>
            <w:fldChar w:fldCharType="separate"/>
          </w:r>
          <w:r>
            <w:rPr>
              <w:rStyle w:val="28"/>
              <w:rFonts w:hint="eastAsia" w:ascii="宋体" w:hAnsi="宋体" w:eastAsia="宋体" w:cs="Times New Roman"/>
              <w:kern w:val="0"/>
              <w:sz w:val="30"/>
              <w:szCs w:val="30"/>
              <w:lang w:val="zh-CN"/>
            </w:rPr>
            <w:t>（二）建设产业示范基地</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_Toc507683752 \h </w:instrText>
          </w:r>
          <w:r>
            <w:rPr>
              <w:rFonts w:ascii="宋体" w:hAnsi="宋体" w:eastAsia="宋体"/>
              <w:sz w:val="30"/>
              <w:szCs w:val="30"/>
            </w:rPr>
            <w:fldChar w:fldCharType="separate"/>
          </w:r>
          <w:r>
            <w:rPr>
              <w:rFonts w:ascii="宋体" w:hAnsi="宋体" w:eastAsia="宋体"/>
              <w:sz w:val="30"/>
              <w:szCs w:val="30"/>
            </w:rPr>
            <w:t>36</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"_Toc507683753" </w:instrText>
          </w:r>
          <w:r>
            <w:fldChar w:fldCharType="separate"/>
          </w:r>
          <w:r>
            <w:rPr>
              <w:rStyle w:val="28"/>
              <w:rFonts w:hint="eastAsia" w:ascii="宋体" w:hAnsi="宋体" w:eastAsia="宋体" w:cs="Times New Roman"/>
              <w:kern w:val="0"/>
              <w:sz w:val="30"/>
              <w:szCs w:val="30"/>
              <w:lang w:val="zh-CN"/>
            </w:rPr>
            <w:t>（三）提升园区承载能力</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_Toc507683753 \h </w:instrText>
          </w:r>
          <w:r>
            <w:rPr>
              <w:rFonts w:ascii="宋体" w:hAnsi="宋体" w:eastAsia="宋体"/>
              <w:sz w:val="30"/>
              <w:szCs w:val="30"/>
            </w:rPr>
            <w:fldChar w:fldCharType="separate"/>
          </w:r>
          <w:r>
            <w:rPr>
              <w:rFonts w:ascii="宋体" w:hAnsi="宋体" w:eastAsia="宋体"/>
              <w:sz w:val="30"/>
              <w:szCs w:val="30"/>
            </w:rPr>
            <w:t>36</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"_Toc507683754" </w:instrText>
          </w:r>
          <w:r>
            <w:fldChar w:fldCharType="separate"/>
          </w:r>
          <w:r>
            <w:rPr>
              <w:rStyle w:val="28"/>
              <w:rFonts w:hint="eastAsia" w:ascii="宋体" w:hAnsi="宋体" w:eastAsia="宋体"/>
              <w:sz w:val="30"/>
              <w:szCs w:val="30"/>
            </w:rPr>
            <w:t>七、开放合作深化行动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_Toc507683754 \h </w:instrText>
          </w:r>
          <w:r>
            <w:rPr>
              <w:rFonts w:ascii="宋体" w:hAnsi="宋体" w:eastAsia="宋体"/>
              <w:sz w:val="30"/>
              <w:szCs w:val="30"/>
            </w:rPr>
            <w:fldChar w:fldCharType="separate"/>
          </w:r>
          <w:r>
            <w:rPr>
              <w:rFonts w:ascii="宋体" w:hAnsi="宋体" w:eastAsia="宋体"/>
              <w:sz w:val="30"/>
              <w:szCs w:val="30"/>
            </w:rPr>
            <w:t>37</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"_Toc507683755" </w:instrText>
          </w:r>
          <w:r>
            <w:fldChar w:fldCharType="separate"/>
          </w:r>
          <w:r>
            <w:rPr>
              <w:rStyle w:val="28"/>
              <w:rFonts w:hint="eastAsia" w:ascii="宋体" w:hAnsi="宋体" w:eastAsia="宋体" w:cs="Times New Roman"/>
              <w:kern w:val="0"/>
              <w:sz w:val="30"/>
              <w:szCs w:val="30"/>
              <w:lang w:val="zh-CN"/>
            </w:rPr>
            <w:t>（一）实施精准招商</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_Toc507683755 \h </w:instrText>
          </w:r>
          <w:r>
            <w:rPr>
              <w:rFonts w:ascii="宋体" w:hAnsi="宋体" w:eastAsia="宋体"/>
              <w:sz w:val="30"/>
              <w:szCs w:val="30"/>
            </w:rPr>
            <w:fldChar w:fldCharType="separate"/>
          </w:r>
          <w:r>
            <w:rPr>
              <w:rFonts w:ascii="宋体" w:hAnsi="宋体" w:eastAsia="宋体"/>
              <w:sz w:val="30"/>
              <w:szCs w:val="30"/>
            </w:rPr>
            <w:t>37</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"_Toc507683756" </w:instrText>
          </w:r>
          <w:r>
            <w:fldChar w:fldCharType="separate"/>
          </w:r>
          <w:r>
            <w:rPr>
              <w:rStyle w:val="28"/>
              <w:rFonts w:hint="eastAsia" w:ascii="宋体" w:hAnsi="宋体" w:eastAsia="宋体" w:cs="Times New Roman"/>
              <w:kern w:val="0"/>
              <w:sz w:val="30"/>
              <w:szCs w:val="30"/>
              <w:lang w:val="zh-CN"/>
            </w:rPr>
            <w:t>（二）深化区域经济合作</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_Toc507683756 \h </w:instrText>
          </w:r>
          <w:r>
            <w:rPr>
              <w:rFonts w:ascii="宋体" w:hAnsi="宋体" w:eastAsia="宋体"/>
              <w:sz w:val="30"/>
              <w:szCs w:val="30"/>
            </w:rPr>
            <w:fldChar w:fldCharType="separate"/>
          </w:r>
          <w:r>
            <w:rPr>
              <w:rFonts w:ascii="宋体" w:hAnsi="宋体" w:eastAsia="宋体"/>
              <w:sz w:val="30"/>
              <w:szCs w:val="30"/>
            </w:rPr>
            <w:t>38</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"_Toc507683757" </w:instrText>
          </w:r>
          <w:r>
            <w:fldChar w:fldCharType="separate"/>
          </w:r>
          <w:r>
            <w:rPr>
              <w:rStyle w:val="28"/>
              <w:rFonts w:hint="eastAsia" w:ascii="宋体" w:hAnsi="宋体" w:eastAsia="宋体" w:cs="Times New Roman"/>
              <w:kern w:val="0"/>
              <w:sz w:val="30"/>
              <w:szCs w:val="30"/>
              <w:lang w:val="zh-CN"/>
            </w:rPr>
            <w:t>（三）提高产业国际化水平</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_Toc507683757 \h </w:instrText>
          </w:r>
          <w:r>
            <w:rPr>
              <w:rFonts w:ascii="宋体" w:hAnsi="宋体" w:eastAsia="宋体"/>
              <w:sz w:val="30"/>
              <w:szCs w:val="30"/>
            </w:rPr>
            <w:fldChar w:fldCharType="separate"/>
          </w:r>
          <w:r>
            <w:rPr>
              <w:rFonts w:ascii="宋体" w:hAnsi="宋体" w:eastAsia="宋体"/>
              <w:sz w:val="30"/>
              <w:szCs w:val="30"/>
            </w:rPr>
            <w:t>38</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"_Toc507683758" </w:instrText>
          </w:r>
          <w:r>
            <w:fldChar w:fldCharType="separate"/>
          </w:r>
          <w:r>
            <w:rPr>
              <w:rStyle w:val="28"/>
              <w:rFonts w:hint="eastAsia" w:ascii="宋体" w:hAnsi="宋体" w:eastAsia="宋体"/>
              <w:sz w:val="30"/>
              <w:szCs w:val="30"/>
            </w:rPr>
            <w:t>八、绿色制造实施行动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_Toc507683758 \h </w:instrText>
          </w:r>
          <w:r>
            <w:rPr>
              <w:rFonts w:ascii="宋体" w:hAnsi="宋体" w:eastAsia="宋体"/>
              <w:sz w:val="30"/>
              <w:szCs w:val="30"/>
            </w:rPr>
            <w:fldChar w:fldCharType="separate"/>
          </w:r>
          <w:r>
            <w:rPr>
              <w:rFonts w:ascii="宋体" w:hAnsi="宋体" w:eastAsia="宋体"/>
              <w:sz w:val="30"/>
              <w:szCs w:val="30"/>
            </w:rPr>
            <w:t>38</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"_Toc507683759" </w:instrText>
          </w:r>
          <w:r>
            <w:fldChar w:fldCharType="separate"/>
          </w:r>
          <w:r>
            <w:rPr>
              <w:rStyle w:val="28"/>
              <w:rFonts w:hint="eastAsia" w:ascii="宋体" w:hAnsi="宋体" w:eastAsia="宋体" w:cs="Times New Roman"/>
              <w:kern w:val="0"/>
              <w:sz w:val="30"/>
              <w:szCs w:val="30"/>
              <w:lang w:val="zh-CN"/>
            </w:rPr>
            <w:t>（一）加快创建绿色园区</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_Toc507683759 \h </w:instrText>
          </w:r>
          <w:r>
            <w:rPr>
              <w:rFonts w:ascii="宋体" w:hAnsi="宋体" w:eastAsia="宋体"/>
              <w:sz w:val="30"/>
              <w:szCs w:val="30"/>
            </w:rPr>
            <w:fldChar w:fldCharType="separate"/>
          </w:r>
          <w:r>
            <w:rPr>
              <w:rFonts w:ascii="宋体" w:hAnsi="宋体" w:eastAsia="宋体"/>
              <w:sz w:val="30"/>
              <w:szCs w:val="30"/>
            </w:rPr>
            <w:t>39</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"_Toc507683760" </w:instrText>
          </w:r>
          <w:r>
            <w:fldChar w:fldCharType="separate"/>
          </w:r>
          <w:r>
            <w:rPr>
              <w:rStyle w:val="28"/>
              <w:rFonts w:hint="eastAsia" w:ascii="宋体" w:hAnsi="宋体" w:eastAsia="宋体" w:cs="Times New Roman"/>
              <w:kern w:val="0"/>
              <w:sz w:val="30"/>
              <w:szCs w:val="30"/>
              <w:lang w:val="zh-CN"/>
            </w:rPr>
            <w:t>（二）加快培育绿色企业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_Toc507683760 \h </w:instrText>
          </w:r>
          <w:r>
            <w:rPr>
              <w:rFonts w:ascii="宋体" w:hAnsi="宋体" w:eastAsia="宋体"/>
              <w:sz w:val="30"/>
              <w:szCs w:val="30"/>
            </w:rPr>
            <w:fldChar w:fldCharType="separate"/>
          </w:r>
          <w:r>
            <w:rPr>
              <w:rFonts w:ascii="宋体" w:hAnsi="宋体" w:eastAsia="宋体"/>
              <w:sz w:val="30"/>
              <w:szCs w:val="30"/>
            </w:rPr>
            <w:t>39</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"_Toc507683761" </w:instrText>
          </w:r>
          <w:r>
            <w:fldChar w:fldCharType="separate"/>
          </w:r>
          <w:r>
            <w:rPr>
              <w:rStyle w:val="28"/>
              <w:rFonts w:hint="eastAsia" w:ascii="宋体" w:hAnsi="宋体" w:eastAsia="宋体" w:cs="Times New Roman"/>
              <w:kern w:val="0"/>
              <w:sz w:val="30"/>
              <w:szCs w:val="30"/>
              <w:lang w:val="zh-CN"/>
            </w:rPr>
            <w:t>（三）加快发展绿色产品</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_Toc507683761 \h </w:instrText>
          </w:r>
          <w:r>
            <w:rPr>
              <w:rFonts w:ascii="宋体" w:hAnsi="宋体" w:eastAsia="宋体"/>
              <w:sz w:val="30"/>
              <w:szCs w:val="30"/>
            </w:rPr>
            <w:fldChar w:fldCharType="separate"/>
          </w:r>
          <w:r>
            <w:rPr>
              <w:rFonts w:ascii="宋体" w:hAnsi="宋体" w:eastAsia="宋体"/>
              <w:sz w:val="30"/>
              <w:szCs w:val="30"/>
            </w:rPr>
            <w:t>39</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"_Toc507683762" </w:instrText>
          </w:r>
          <w:r>
            <w:fldChar w:fldCharType="separate"/>
          </w:r>
          <w:r>
            <w:rPr>
              <w:rStyle w:val="28"/>
              <w:rFonts w:hint="eastAsia" w:ascii="宋体" w:hAnsi="宋体" w:eastAsia="宋体"/>
              <w:sz w:val="30"/>
              <w:szCs w:val="30"/>
            </w:rPr>
            <w:t>九、军民深度融合行动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_Toc507683762 \h </w:instrText>
          </w:r>
          <w:r>
            <w:rPr>
              <w:rFonts w:ascii="宋体" w:hAnsi="宋体" w:eastAsia="宋体"/>
              <w:sz w:val="30"/>
              <w:szCs w:val="30"/>
            </w:rPr>
            <w:fldChar w:fldCharType="separate"/>
          </w:r>
          <w:r>
            <w:rPr>
              <w:rFonts w:ascii="宋体" w:hAnsi="宋体" w:eastAsia="宋体"/>
              <w:sz w:val="30"/>
              <w:szCs w:val="30"/>
            </w:rPr>
            <w:t>40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"_Toc507683763" </w:instrText>
          </w:r>
          <w:r>
            <w:fldChar w:fldCharType="separate"/>
          </w:r>
          <w:r>
            <w:rPr>
              <w:rStyle w:val="28"/>
              <w:rFonts w:hint="eastAsia" w:ascii="宋体" w:hAnsi="宋体" w:eastAsia="宋体" w:cs="Times New Roman"/>
              <w:kern w:val="0"/>
              <w:sz w:val="30"/>
              <w:szCs w:val="30"/>
              <w:lang w:val="zh-CN"/>
            </w:rPr>
            <w:t>（一）推进军民技术双向转化</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_Toc507683763 \h </w:instrText>
          </w:r>
          <w:r>
            <w:rPr>
              <w:rFonts w:ascii="宋体" w:hAnsi="宋体" w:eastAsia="宋体"/>
              <w:sz w:val="30"/>
              <w:szCs w:val="30"/>
            </w:rPr>
            <w:fldChar w:fldCharType="separate"/>
          </w:r>
          <w:r>
            <w:rPr>
              <w:rFonts w:ascii="宋体" w:hAnsi="宋体" w:eastAsia="宋体"/>
              <w:sz w:val="30"/>
              <w:szCs w:val="30"/>
            </w:rPr>
            <w:t>40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"_Toc507683764" </w:instrText>
          </w:r>
          <w:r>
            <w:fldChar w:fldCharType="separate"/>
          </w:r>
          <w:r>
            <w:rPr>
              <w:rStyle w:val="28"/>
              <w:rFonts w:hint="eastAsia" w:ascii="宋体" w:hAnsi="宋体" w:eastAsia="宋体" w:cs="Times New Roman"/>
              <w:kern w:val="0"/>
              <w:sz w:val="30"/>
              <w:szCs w:val="30"/>
              <w:lang w:val="zh-CN"/>
            </w:rPr>
            <w:t>（二）加快军民融合科技创新</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_Toc507683764 \h </w:instrText>
          </w:r>
          <w:r>
            <w:rPr>
              <w:rFonts w:ascii="宋体" w:hAnsi="宋体" w:eastAsia="宋体"/>
              <w:sz w:val="30"/>
              <w:szCs w:val="30"/>
            </w:rPr>
            <w:fldChar w:fldCharType="separate"/>
          </w:r>
          <w:r>
            <w:rPr>
              <w:rFonts w:ascii="宋体" w:hAnsi="宋体" w:eastAsia="宋体"/>
              <w:sz w:val="30"/>
              <w:szCs w:val="30"/>
            </w:rPr>
            <w:t>40</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"_Toc507683765" </w:instrText>
          </w:r>
          <w:r>
            <w:fldChar w:fldCharType="separate"/>
          </w:r>
          <w:r>
            <w:rPr>
              <w:rStyle w:val="28"/>
              <w:rFonts w:hint="eastAsia" w:ascii="宋体" w:hAnsi="宋体" w:eastAsia="宋体" w:cs="Times New Roman"/>
              <w:kern w:val="0"/>
              <w:sz w:val="30"/>
              <w:szCs w:val="30"/>
              <w:lang w:val="zh-CN"/>
            </w:rPr>
            <w:t>（三）加强军民融合项目建设</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_Toc507683765 \h </w:instrText>
          </w:r>
          <w:r>
            <w:rPr>
              <w:rFonts w:ascii="宋体" w:hAnsi="宋体" w:eastAsia="宋体"/>
              <w:sz w:val="30"/>
              <w:szCs w:val="30"/>
            </w:rPr>
            <w:fldChar w:fldCharType="separate"/>
          </w:r>
          <w:r>
            <w:rPr>
              <w:rFonts w:ascii="宋体" w:hAnsi="宋体" w:eastAsia="宋体"/>
              <w:sz w:val="30"/>
              <w:szCs w:val="30"/>
            </w:rPr>
            <w:t>41</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"_Toc507683766" </w:instrText>
          </w:r>
          <w:r>
            <w:fldChar w:fldCharType="separate"/>
          </w:r>
          <w:r>
            <w:rPr>
              <w:rStyle w:val="28"/>
              <w:rFonts w:hint="eastAsia" w:ascii="宋体" w:hAnsi="宋体" w:eastAsia="宋体"/>
              <w:sz w:val="30"/>
              <w:szCs w:val="30"/>
            </w:rPr>
            <w:t>十、专业人才培养行动</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_Toc507683766 \h </w:instrText>
          </w:r>
          <w:r>
            <w:rPr>
              <w:rFonts w:ascii="宋体" w:hAnsi="宋体" w:eastAsia="宋体"/>
              <w:sz w:val="30"/>
              <w:szCs w:val="30"/>
            </w:rPr>
            <w:fldChar w:fldCharType="separate"/>
          </w:r>
          <w:r>
            <w:rPr>
              <w:rFonts w:ascii="宋体" w:hAnsi="宋体" w:eastAsia="宋体"/>
              <w:sz w:val="30"/>
              <w:szCs w:val="30"/>
            </w:rPr>
            <w:t>41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"_Toc507683767" </w:instrText>
          </w:r>
          <w:r>
            <w:fldChar w:fldCharType="separate"/>
          </w:r>
          <w:r>
            <w:rPr>
              <w:rStyle w:val="28"/>
              <w:rFonts w:hint="eastAsia" w:ascii="宋体" w:hAnsi="宋体" w:eastAsia="宋体" w:cs="Times New Roman"/>
              <w:kern w:val="0"/>
              <w:sz w:val="30"/>
              <w:szCs w:val="30"/>
              <w:lang w:val="zh-CN"/>
            </w:rPr>
            <w:t>（一）加快培育企业家人才</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_Toc507683767 \h </w:instrText>
          </w:r>
          <w:r>
            <w:rPr>
              <w:rFonts w:ascii="宋体" w:hAnsi="宋体" w:eastAsia="宋体"/>
              <w:sz w:val="30"/>
              <w:szCs w:val="30"/>
            </w:rPr>
            <w:fldChar w:fldCharType="separate"/>
          </w:r>
          <w:r>
            <w:rPr>
              <w:rFonts w:ascii="宋体" w:hAnsi="宋体" w:eastAsia="宋体"/>
              <w:sz w:val="30"/>
              <w:szCs w:val="30"/>
            </w:rPr>
            <w:t>41</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"_Toc507683768" </w:instrText>
          </w:r>
          <w:r>
            <w:fldChar w:fldCharType="separate"/>
          </w:r>
          <w:r>
            <w:rPr>
              <w:rStyle w:val="28"/>
              <w:rFonts w:hint="eastAsia" w:ascii="宋体" w:hAnsi="宋体" w:eastAsia="宋体" w:cs="Times New Roman"/>
              <w:kern w:val="0"/>
              <w:sz w:val="30"/>
              <w:szCs w:val="30"/>
              <w:lang w:val="zh-CN"/>
            </w:rPr>
            <w:t>（二）着力引培专业技术人才</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_Toc507683768 \h </w:instrText>
          </w:r>
          <w:r>
            <w:rPr>
              <w:rFonts w:ascii="宋体" w:hAnsi="宋体" w:eastAsia="宋体"/>
              <w:sz w:val="30"/>
              <w:szCs w:val="30"/>
            </w:rPr>
            <w:fldChar w:fldCharType="separate"/>
          </w:r>
          <w:r>
            <w:rPr>
              <w:rFonts w:ascii="宋体" w:hAnsi="宋体" w:eastAsia="宋体"/>
              <w:sz w:val="30"/>
              <w:szCs w:val="30"/>
            </w:rPr>
            <w:t>42</w:t>
          </w:r>
          <w:r>
            <w:rPr>
              <w:rFonts w:ascii="宋体" w:hAnsi="宋体" w:eastAsia="宋体"/>
              <w:sz w:val="30"/>
              <w:szCs w:val="30"/>
            </w:rPr>
            <w:fldChar w:fldCharType="end"/>
          </w:r>
          <w:r>
            <w:rPr>
              <w:rFonts w:ascii="宋体" w:hAnsi="宋体" w:eastAsia="宋体"/>
              <w:sz w:val="30"/>
              <w:szCs w:val="30"/>
            </w:rPr>
            <w:fldChar w:fldCharType="end"/>
          </w:r>
        </w:p>
        <w:p>
          <w:pPr>
            <w:pStyle w:val="9"/>
            <w:tabs>
              <w:tab w:val="right" w:leader="dot" w:pos="8296"/>
            </w:tabs>
            <w:spacing w:line="560" w:lineRule="exact"/>
            <w:rPr>
              <w:rFonts w:ascii="宋体" w:hAnsi="宋体" w:eastAsia="宋体"/>
              <w:sz w:val="30"/>
              <w:szCs w:val="30"/>
            </w:rPr>
          </w:pPr>
          <w:r>
            <w:fldChar w:fldCharType="begin"/>
          </w:r>
          <w:r>
            <w:instrText xml:space="preserve"> HYPERLINK \l "_Toc507683769" </w:instrText>
          </w:r>
          <w:r>
            <w:fldChar w:fldCharType="separate"/>
          </w:r>
          <w:r>
            <w:rPr>
              <w:rStyle w:val="28"/>
              <w:rFonts w:hint="eastAsia" w:ascii="宋体" w:hAnsi="宋体" w:eastAsia="宋体" w:cs="Times New Roman"/>
              <w:kern w:val="0"/>
              <w:sz w:val="30"/>
              <w:szCs w:val="30"/>
              <w:lang w:val="zh-CN"/>
            </w:rPr>
            <w:t>（三）大力培养技能人才</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_Toc507683769 \h </w:instrText>
          </w:r>
          <w:r>
            <w:rPr>
              <w:rFonts w:ascii="宋体" w:hAnsi="宋体" w:eastAsia="宋体"/>
              <w:sz w:val="30"/>
              <w:szCs w:val="30"/>
            </w:rPr>
            <w:fldChar w:fldCharType="separate"/>
          </w:r>
          <w:r>
            <w:rPr>
              <w:rFonts w:ascii="宋体" w:hAnsi="宋体" w:eastAsia="宋体"/>
              <w:sz w:val="30"/>
              <w:szCs w:val="30"/>
            </w:rPr>
            <w:t>42</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"_Toc507683770" </w:instrText>
          </w:r>
          <w:r>
            <w:fldChar w:fldCharType="separate"/>
          </w:r>
          <w:r>
            <w:rPr>
              <w:rStyle w:val="28"/>
              <w:rFonts w:hint="eastAsia" w:ascii="宋体" w:hAnsi="宋体"/>
              <w:sz w:val="30"/>
              <w:szCs w:val="30"/>
            </w:rPr>
            <w:t>第六章</w:t>
          </w:r>
          <w:r>
            <w:rPr>
              <w:rStyle w:val="28"/>
              <w:rFonts w:ascii="宋体" w:hAnsi="宋体"/>
              <w:sz w:val="30"/>
              <w:szCs w:val="30"/>
            </w:rPr>
            <w:t xml:space="preserve"> </w:t>
          </w:r>
          <w:r>
            <w:rPr>
              <w:rStyle w:val="28"/>
              <w:rFonts w:hint="eastAsia" w:ascii="宋体" w:hAnsi="宋体"/>
              <w:sz w:val="30"/>
              <w:szCs w:val="30"/>
            </w:rPr>
            <w:t>政策措施</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_Toc507683770 \h </w:instrText>
          </w:r>
          <w:r>
            <w:rPr>
              <w:rFonts w:ascii="宋体" w:hAnsi="宋体"/>
              <w:sz w:val="30"/>
              <w:szCs w:val="30"/>
            </w:rPr>
            <w:fldChar w:fldCharType="separate"/>
          </w:r>
          <w:r>
            <w:rPr>
              <w:rFonts w:ascii="宋体" w:hAnsi="宋体"/>
              <w:sz w:val="30"/>
              <w:szCs w:val="30"/>
            </w:rPr>
            <w:t>43</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"_Toc507683771" </w:instrText>
          </w:r>
          <w:r>
            <w:fldChar w:fldCharType="separate"/>
          </w:r>
          <w:r>
            <w:rPr>
              <w:rStyle w:val="28"/>
              <w:rFonts w:hint="eastAsia" w:ascii="宋体" w:hAnsi="宋体" w:eastAsia="宋体"/>
              <w:sz w:val="30"/>
              <w:szCs w:val="30"/>
            </w:rPr>
            <w:t>一、强化财税扶持</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_Toc507683771 \h </w:instrText>
          </w:r>
          <w:r>
            <w:rPr>
              <w:rFonts w:ascii="宋体" w:hAnsi="宋体" w:eastAsia="宋体"/>
              <w:sz w:val="30"/>
              <w:szCs w:val="30"/>
            </w:rPr>
            <w:fldChar w:fldCharType="separate"/>
          </w:r>
          <w:r>
            <w:rPr>
              <w:rFonts w:ascii="宋体" w:hAnsi="宋体" w:eastAsia="宋体"/>
              <w:sz w:val="30"/>
              <w:szCs w:val="30"/>
            </w:rPr>
            <w:t>43</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"_Toc507683772" </w:instrText>
          </w:r>
          <w:r>
            <w:fldChar w:fldCharType="separate"/>
          </w:r>
          <w:r>
            <w:rPr>
              <w:rStyle w:val="28"/>
              <w:rFonts w:hint="eastAsia" w:ascii="宋体" w:hAnsi="宋体" w:eastAsia="宋体"/>
              <w:sz w:val="30"/>
              <w:szCs w:val="30"/>
            </w:rPr>
            <w:t>二、创新金融支持</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_Toc507683772 \h </w:instrText>
          </w:r>
          <w:r>
            <w:rPr>
              <w:rFonts w:ascii="宋体" w:hAnsi="宋体" w:eastAsia="宋体"/>
              <w:sz w:val="30"/>
              <w:szCs w:val="30"/>
            </w:rPr>
            <w:fldChar w:fldCharType="separate"/>
          </w:r>
          <w:r>
            <w:rPr>
              <w:rFonts w:ascii="宋体" w:hAnsi="宋体" w:eastAsia="宋体"/>
              <w:sz w:val="30"/>
              <w:szCs w:val="30"/>
            </w:rPr>
            <w:t>43</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"_Toc507683773" </w:instrText>
          </w:r>
          <w:r>
            <w:fldChar w:fldCharType="separate"/>
          </w:r>
          <w:r>
            <w:rPr>
              <w:rStyle w:val="28"/>
              <w:rFonts w:hint="eastAsia" w:ascii="宋体" w:hAnsi="宋体" w:eastAsia="宋体"/>
              <w:sz w:val="30"/>
              <w:szCs w:val="30"/>
            </w:rPr>
            <w:t>三、完善土地供给</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_Toc507683773 \h </w:instrText>
          </w:r>
          <w:r>
            <w:rPr>
              <w:rFonts w:ascii="宋体" w:hAnsi="宋体" w:eastAsia="宋体"/>
              <w:sz w:val="30"/>
              <w:szCs w:val="30"/>
            </w:rPr>
            <w:fldChar w:fldCharType="separate"/>
          </w:r>
          <w:r>
            <w:rPr>
              <w:rFonts w:ascii="宋体" w:hAnsi="宋体" w:eastAsia="宋体"/>
              <w:sz w:val="30"/>
              <w:szCs w:val="30"/>
            </w:rPr>
            <w:t>44</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"_Toc507683774" </w:instrText>
          </w:r>
          <w:r>
            <w:fldChar w:fldCharType="separate"/>
          </w:r>
          <w:r>
            <w:rPr>
              <w:rStyle w:val="28"/>
              <w:rFonts w:hint="eastAsia" w:ascii="宋体" w:hAnsi="宋体" w:eastAsia="宋体"/>
              <w:sz w:val="30"/>
              <w:szCs w:val="30"/>
            </w:rPr>
            <w:t>四、鼓励创新创业</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_Toc507683774 \h </w:instrText>
          </w:r>
          <w:r>
            <w:rPr>
              <w:rFonts w:ascii="宋体" w:hAnsi="宋体" w:eastAsia="宋体"/>
              <w:sz w:val="30"/>
              <w:szCs w:val="30"/>
            </w:rPr>
            <w:fldChar w:fldCharType="separate"/>
          </w:r>
          <w:r>
            <w:rPr>
              <w:rFonts w:ascii="宋体" w:hAnsi="宋体" w:eastAsia="宋体"/>
              <w:sz w:val="30"/>
              <w:szCs w:val="30"/>
            </w:rPr>
            <w:t>44</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"_Toc507683775" </w:instrText>
          </w:r>
          <w:r>
            <w:fldChar w:fldCharType="separate"/>
          </w:r>
          <w:r>
            <w:rPr>
              <w:rStyle w:val="28"/>
              <w:rFonts w:hint="eastAsia" w:ascii="宋体" w:hAnsi="宋体" w:eastAsia="宋体"/>
              <w:sz w:val="30"/>
              <w:szCs w:val="30"/>
            </w:rPr>
            <w:t>五、优化人才发展环境</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_Toc507683775 \h </w:instrText>
          </w:r>
          <w:r>
            <w:rPr>
              <w:rFonts w:ascii="宋体" w:hAnsi="宋体" w:eastAsia="宋体"/>
              <w:sz w:val="30"/>
              <w:szCs w:val="30"/>
            </w:rPr>
            <w:fldChar w:fldCharType="separate"/>
          </w:r>
          <w:r>
            <w:rPr>
              <w:rFonts w:ascii="宋体" w:hAnsi="宋体" w:eastAsia="宋体"/>
              <w:sz w:val="30"/>
              <w:szCs w:val="30"/>
            </w:rPr>
            <w:t>45</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"_Toc507683776" </w:instrText>
          </w:r>
          <w:r>
            <w:fldChar w:fldCharType="separate"/>
          </w:r>
          <w:r>
            <w:rPr>
              <w:rStyle w:val="28"/>
              <w:rFonts w:hint="eastAsia" w:ascii="宋体" w:hAnsi="宋体"/>
              <w:sz w:val="30"/>
              <w:szCs w:val="30"/>
            </w:rPr>
            <w:t>第七章</w:t>
          </w:r>
          <w:r>
            <w:rPr>
              <w:rStyle w:val="28"/>
              <w:rFonts w:ascii="宋体" w:hAnsi="宋体"/>
              <w:sz w:val="30"/>
              <w:szCs w:val="30"/>
            </w:rPr>
            <w:t xml:space="preserve"> </w:t>
          </w:r>
          <w:r>
            <w:rPr>
              <w:rStyle w:val="28"/>
              <w:rFonts w:hint="eastAsia" w:ascii="宋体" w:hAnsi="宋体"/>
              <w:sz w:val="30"/>
              <w:szCs w:val="30"/>
            </w:rPr>
            <w:t>组织实施</w:t>
          </w:r>
          <w:r>
            <w:rPr>
              <w:rFonts w:ascii="宋体" w:hAnsi="宋体"/>
              <w:sz w:val="30"/>
              <w:szCs w:val="30"/>
            </w:rPr>
            <w:tab/>
          </w:r>
          <w:r>
            <w:rPr>
              <w:rFonts w:ascii="宋体" w:hAnsi="宋体"/>
              <w:sz w:val="30"/>
              <w:szCs w:val="30"/>
            </w:rPr>
            <w:fldChar w:fldCharType="begin"/>
          </w:r>
          <w:r>
            <w:rPr>
              <w:rFonts w:ascii="宋体" w:hAnsi="宋体"/>
              <w:sz w:val="30"/>
              <w:szCs w:val="30"/>
            </w:rPr>
            <w:instrText xml:space="preserve"> PAGEREF _Toc507683776 \h </w:instrText>
          </w:r>
          <w:r>
            <w:rPr>
              <w:rFonts w:ascii="宋体" w:hAnsi="宋体"/>
              <w:sz w:val="30"/>
              <w:szCs w:val="30"/>
            </w:rPr>
            <w:fldChar w:fldCharType="separate"/>
          </w:r>
          <w:r>
            <w:rPr>
              <w:rFonts w:ascii="宋体" w:hAnsi="宋体"/>
              <w:sz w:val="30"/>
              <w:szCs w:val="30"/>
            </w:rPr>
            <w:t>46</w:t>
          </w:r>
          <w:r>
            <w:rPr>
              <w:rFonts w:ascii="宋体" w:hAnsi="宋体"/>
              <w:sz w:val="30"/>
              <w:szCs w:val="30"/>
            </w:rPr>
            <w:fldChar w:fldCharType="end"/>
          </w:r>
          <w:r>
            <w:rPr>
              <w:rFonts w:ascii="宋体" w:hAnsi="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"_Toc507683777" </w:instrText>
          </w:r>
          <w:r>
            <w:fldChar w:fldCharType="separate"/>
          </w:r>
          <w:r>
            <w:rPr>
              <w:rStyle w:val="28"/>
              <w:rFonts w:hint="eastAsia" w:ascii="宋体" w:hAnsi="宋体" w:eastAsia="宋体"/>
              <w:sz w:val="30"/>
              <w:szCs w:val="30"/>
            </w:rPr>
            <w:t>一、加强统筹协调</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_Toc507683777 \h </w:instrText>
          </w:r>
          <w:r>
            <w:rPr>
              <w:rFonts w:ascii="宋体" w:hAnsi="宋体" w:eastAsia="宋体"/>
              <w:sz w:val="30"/>
              <w:szCs w:val="30"/>
            </w:rPr>
            <w:fldChar w:fldCharType="separate"/>
          </w:r>
          <w:r>
            <w:rPr>
              <w:rFonts w:ascii="宋体" w:hAnsi="宋体" w:eastAsia="宋体"/>
              <w:sz w:val="30"/>
              <w:szCs w:val="30"/>
            </w:rPr>
            <w:t>46</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"_Toc507683778" </w:instrText>
          </w:r>
          <w:r>
            <w:fldChar w:fldCharType="separate"/>
          </w:r>
          <w:r>
            <w:rPr>
              <w:rStyle w:val="28"/>
              <w:rFonts w:hint="eastAsia" w:ascii="宋体" w:hAnsi="宋体" w:eastAsia="宋体"/>
              <w:sz w:val="30"/>
              <w:szCs w:val="30"/>
            </w:rPr>
            <w:t>二、加强规划引导</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_Toc507683778 \h </w:instrText>
          </w:r>
          <w:r>
            <w:rPr>
              <w:rFonts w:ascii="宋体" w:hAnsi="宋体" w:eastAsia="宋体"/>
              <w:sz w:val="30"/>
              <w:szCs w:val="30"/>
            </w:rPr>
            <w:fldChar w:fldCharType="separate"/>
          </w:r>
          <w:r>
            <w:rPr>
              <w:rFonts w:ascii="宋体" w:hAnsi="宋体" w:eastAsia="宋体"/>
              <w:sz w:val="30"/>
              <w:szCs w:val="30"/>
            </w:rPr>
            <w:t>46</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"_Toc507683779" </w:instrText>
          </w:r>
          <w:r>
            <w:fldChar w:fldCharType="separate"/>
          </w:r>
          <w:r>
            <w:rPr>
              <w:rStyle w:val="28"/>
              <w:rFonts w:hint="eastAsia" w:ascii="宋体" w:hAnsi="宋体" w:eastAsia="宋体"/>
              <w:sz w:val="30"/>
              <w:szCs w:val="30"/>
            </w:rPr>
            <w:t>三、完善工作机制</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_Toc507683779 \h </w:instrText>
          </w:r>
          <w:r>
            <w:rPr>
              <w:rFonts w:ascii="宋体" w:hAnsi="宋体" w:eastAsia="宋体"/>
              <w:sz w:val="30"/>
              <w:szCs w:val="30"/>
            </w:rPr>
            <w:fldChar w:fldCharType="separate"/>
          </w:r>
          <w:r>
            <w:rPr>
              <w:rFonts w:ascii="宋体" w:hAnsi="宋体" w:eastAsia="宋体"/>
              <w:sz w:val="30"/>
              <w:szCs w:val="30"/>
            </w:rPr>
            <w:t>47</w:t>
          </w:r>
          <w:r>
            <w:rPr>
              <w:rFonts w:ascii="宋体" w:hAnsi="宋体" w:eastAsia="宋体"/>
              <w:sz w:val="30"/>
              <w:szCs w:val="30"/>
            </w:rPr>
            <w:fldChar w:fldCharType="end"/>
          </w:r>
          <w:r>
            <w:rPr>
              <w:rFonts w:ascii="宋体" w:hAnsi="宋体" w:eastAsia="宋体"/>
              <w:sz w:val="30"/>
              <w:szCs w:val="30"/>
            </w:rPr>
            <w:fldChar w:fldCharType="end"/>
          </w:r>
        </w:p>
        <w:p>
          <w:pPr>
            <w:pStyle w:val="19"/>
            <w:tabs>
              <w:tab w:val="right" w:leader="dot" w:pos="8296"/>
            </w:tabs>
            <w:spacing w:line="560" w:lineRule="exact"/>
            <w:rPr>
              <w:rFonts w:ascii="宋体" w:hAnsi="宋体" w:eastAsia="宋体"/>
              <w:sz w:val="30"/>
              <w:szCs w:val="30"/>
            </w:rPr>
          </w:pPr>
          <w:r>
            <w:fldChar w:fldCharType="begin"/>
          </w:r>
          <w:r>
            <w:instrText xml:space="preserve"> HYPERLINK \l "_Toc507683780" </w:instrText>
          </w:r>
          <w:r>
            <w:fldChar w:fldCharType="separate"/>
          </w:r>
          <w:r>
            <w:rPr>
              <w:rStyle w:val="28"/>
              <w:rFonts w:hint="eastAsia" w:ascii="宋体" w:hAnsi="宋体" w:eastAsia="宋体"/>
              <w:sz w:val="30"/>
              <w:szCs w:val="30"/>
            </w:rPr>
            <w:t>四、加强督促考核</w:t>
          </w:r>
          <w:r>
            <w:rPr>
              <w:rFonts w:ascii="宋体" w:hAnsi="宋体" w:eastAsia="宋体"/>
              <w:sz w:val="30"/>
              <w:szCs w:val="30"/>
            </w:rPr>
            <w:tab/>
          </w:r>
          <w:r>
            <w:rPr>
              <w:rFonts w:ascii="宋体" w:hAnsi="宋体" w:eastAsia="宋体"/>
              <w:sz w:val="30"/>
              <w:szCs w:val="30"/>
            </w:rPr>
            <w:fldChar w:fldCharType="begin"/>
          </w:r>
          <w:r>
            <w:rPr>
              <w:rFonts w:ascii="宋体" w:hAnsi="宋体" w:eastAsia="宋体"/>
              <w:sz w:val="30"/>
              <w:szCs w:val="30"/>
            </w:rPr>
            <w:instrText xml:space="preserve"> PAGEREF _Toc507683780 \h </w:instrText>
          </w:r>
          <w:r>
            <w:rPr>
              <w:rFonts w:ascii="宋体" w:hAnsi="宋体" w:eastAsia="宋体"/>
              <w:sz w:val="30"/>
              <w:szCs w:val="30"/>
            </w:rPr>
            <w:fldChar w:fldCharType="separate"/>
          </w:r>
          <w:r>
            <w:rPr>
              <w:rFonts w:ascii="宋体" w:hAnsi="宋体" w:eastAsia="宋体"/>
              <w:sz w:val="30"/>
              <w:szCs w:val="30"/>
            </w:rPr>
            <w:t>47</w:t>
          </w:r>
          <w:r>
            <w:rPr>
              <w:rFonts w:ascii="宋体" w:hAnsi="宋体" w:eastAsia="宋体"/>
              <w:sz w:val="30"/>
              <w:szCs w:val="30"/>
            </w:rPr>
            <w:fldChar w:fldCharType="end"/>
          </w:r>
          <w:r>
            <w:rPr>
              <w:rFonts w:ascii="宋体" w:hAnsi="宋体" w:eastAsia="宋体"/>
              <w:sz w:val="30"/>
              <w:szCs w:val="30"/>
            </w:rPr>
            <w:fldChar w:fldCharType="end"/>
          </w:r>
        </w:p>
        <w:p>
          <w:pPr>
            <w:pStyle w:val="15"/>
            <w:spacing w:line="560" w:lineRule="exact"/>
            <w:rPr>
              <w:rFonts w:ascii="宋体" w:hAnsi="宋体" w:cstheme="minorBidi"/>
              <w:sz w:val="30"/>
              <w:szCs w:val="30"/>
            </w:rPr>
          </w:pPr>
          <w:r>
            <w:fldChar w:fldCharType="begin"/>
          </w:r>
          <w:r>
            <w:instrText xml:space="preserve"> HYPERLINK \l "_Toc507683781" </w:instrText>
          </w:r>
          <w:r>
            <w:fldChar w:fldCharType="separate"/>
          </w:r>
          <w:r>
            <w:rPr>
              <w:rStyle w:val="28"/>
              <w:rFonts w:hint="eastAsia" w:ascii="宋体" w:hAnsi="宋体"/>
              <w:sz w:val="30"/>
              <w:szCs w:val="30"/>
            </w:rPr>
            <w:t>附件一：柳州市“十三五”战略性新兴产业布局示意图</w:t>
          </w:r>
          <w:r>
            <w:rPr>
              <w:rStyle w:val="28"/>
              <w:rFonts w:ascii="宋体" w:hAnsi="宋体"/>
              <w:sz w:val="30"/>
              <w:szCs w:val="30"/>
            </w:rPr>
            <w:tab/>
          </w:r>
          <w:r>
            <w:rPr>
              <w:rStyle w:val="28"/>
              <w:rFonts w:ascii="宋体" w:hAnsi="宋体"/>
              <w:sz w:val="30"/>
              <w:szCs w:val="30"/>
            </w:rPr>
            <w:fldChar w:fldCharType="begin"/>
          </w:r>
          <w:r>
            <w:rPr>
              <w:rStyle w:val="28"/>
              <w:rFonts w:ascii="宋体" w:hAnsi="宋体"/>
              <w:sz w:val="30"/>
              <w:szCs w:val="30"/>
            </w:rPr>
            <w:instrText xml:space="preserve"> PAGEREF _Toc507683781 \h </w:instrText>
          </w:r>
          <w:r>
            <w:rPr>
              <w:rStyle w:val="28"/>
              <w:rFonts w:ascii="宋体" w:hAnsi="宋体"/>
              <w:sz w:val="30"/>
              <w:szCs w:val="30"/>
            </w:rPr>
            <w:fldChar w:fldCharType="separate"/>
          </w:r>
          <w:r>
            <w:rPr>
              <w:rStyle w:val="28"/>
              <w:rFonts w:ascii="宋体" w:hAnsi="宋体"/>
              <w:sz w:val="30"/>
              <w:szCs w:val="30"/>
            </w:rPr>
            <w:t>49</w:t>
          </w:r>
          <w:r>
            <w:rPr>
              <w:rStyle w:val="28"/>
              <w:rFonts w:ascii="宋体" w:hAnsi="宋体"/>
              <w:sz w:val="30"/>
              <w:szCs w:val="30"/>
            </w:rPr>
            <w:fldChar w:fldCharType="end"/>
          </w:r>
          <w:r>
            <w:rPr>
              <w:rStyle w:val="28"/>
              <w:rFonts w:ascii="宋体" w:hAnsi="宋体"/>
              <w:sz w:val="30"/>
              <w:szCs w:val="30"/>
            </w:rPr>
            <w:fldChar w:fldCharType="end"/>
          </w:r>
        </w:p>
        <w:p>
          <w:pPr>
            <w:pStyle w:val="15"/>
            <w:spacing w:line="560" w:lineRule="exact"/>
            <w:rPr>
              <w:rFonts w:asciiTheme="minorHAnsi" w:hAnsiTheme="minorHAnsi" w:eastAsiaTheme="minorEastAsia" w:cstheme="minorBidi"/>
              <w:szCs w:val="22"/>
            </w:rPr>
          </w:pPr>
          <w:r>
            <w:fldChar w:fldCharType="begin"/>
          </w:r>
          <w:r>
            <w:instrText xml:space="preserve"> HYPERLINK \l "_Toc507683782" </w:instrText>
          </w:r>
          <w:r>
            <w:fldChar w:fldCharType="separate"/>
          </w:r>
          <w:r>
            <w:rPr>
              <w:rStyle w:val="28"/>
              <w:rFonts w:hint="eastAsia" w:ascii="宋体" w:hAnsi="宋体"/>
              <w:sz w:val="30"/>
              <w:szCs w:val="30"/>
            </w:rPr>
            <w:t>附件二</w:t>
          </w:r>
          <w:r>
            <w:rPr>
              <w:rStyle w:val="28"/>
              <w:rFonts w:ascii="宋体" w:hAnsi="宋体"/>
              <w:sz w:val="30"/>
              <w:szCs w:val="30"/>
            </w:rPr>
            <w:t>:</w:t>
          </w:r>
          <w:r>
            <w:rPr>
              <w:rStyle w:val="28"/>
              <w:rFonts w:hint="eastAsia" w:ascii="宋体" w:hAnsi="宋体"/>
              <w:w w:val="90"/>
              <w:sz w:val="30"/>
              <w:szCs w:val="30"/>
              <w:u w:val="none"/>
            </w:rPr>
            <w:t>柳州市战略性新兴产业发展“十三五”规划重大项目表</w:t>
          </w:r>
          <w:r>
            <w:rPr>
              <w:rFonts w:ascii="宋体" w:hAnsi="宋体"/>
              <w:w w:val="90"/>
              <w:sz w:val="30"/>
              <w:szCs w:val="30"/>
            </w:rPr>
            <w:tab/>
          </w:r>
          <w:r>
            <w:rPr>
              <w:rFonts w:ascii="宋体" w:hAnsi="宋体"/>
              <w:sz w:val="30"/>
              <w:szCs w:val="30"/>
            </w:rPr>
            <w:fldChar w:fldCharType="begin"/>
          </w:r>
          <w:r>
            <w:rPr>
              <w:rFonts w:ascii="宋体" w:hAnsi="宋体"/>
              <w:sz w:val="30"/>
              <w:szCs w:val="30"/>
            </w:rPr>
            <w:instrText xml:space="preserve"> PAGEREF _Toc507683782 \h </w:instrText>
          </w:r>
          <w:r>
            <w:rPr>
              <w:rFonts w:ascii="宋体" w:hAnsi="宋体"/>
              <w:sz w:val="30"/>
              <w:szCs w:val="30"/>
            </w:rPr>
            <w:fldChar w:fldCharType="separate"/>
          </w:r>
          <w:r>
            <w:rPr>
              <w:rFonts w:ascii="宋体" w:hAnsi="宋体"/>
              <w:sz w:val="30"/>
              <w:szCs w:val="30"/>
            </w:rPr>
            <w:t>50</w:t>
          </w:r>
          <w:r>
            <w:rPr>
              <w:rFonts w:ascii="宋体" w:hAnsi="宋体"/>
              <w:sz w:val="30"/>
              <w:szCs w:val="30"/>
            </w:rPr>
            <w:fldChar w:fldCharType="end"/>
          </w:r>
          <w:r>
            <w:rPr>
              <w:rFonts w:ascii="宋体" w:hAnsi="宋体"/>
              <w:sz w:val="30"/>
              <w:szCs w:val="30"/>
            </w:rPr>
            <w:fldChar w:fldCharType="end"/>
          </w:r>
        </w:p>
        <w:p>
          <w:pPr>
            <w:pStyle w:val="15"/>
            <w:spacing w:line="560" w:lineRule="exact"/>
            <w:rPr>
              <w:rFonts w:asciiTheme="minorEastAsia" w:hAnsiTheme="minorEastAsia" w:eastAsiaTheme="minorEastAsia"/>
              <w:color w:val="222222"/>
              <w:sz w:val="28"/>
              <w:szCs w:val="28"/>
            </w:rPr>
            <w:sectPr>
              <w:footerReference r:id="rId3" w:type="default"/>
              <w:pgSz w:w="11906" w:h="16838"/>
              <w:pgMar w:top="1440" w:right="1800" w:bottom="1440" w:left="1800" w:header="851" w:footer="992" w:gutter="0"/>
              <w:pgNumType w:fmt="upperRoman" w:start="1"/>
              <w:cols w:space="425" w:num="1"/>
              <w:docGrid w:type="lines" w:linePitch="312" w:charSpace="0"/>
            </w:sectPr>
          </w:pPr>
          <w:r>
            <w:rPr>
              <w:rStyle w:val="28"/>
              <w:rFonts w:ascii="仿宋_GB2312" w:hAnsi="Calibri" w:eastAsia="仿宋_GB2312"/>
              <w:color w:val="000000" w:themeColor="text1"/>
              <w:sz w:val="30"/>
              <w:szCs w:val="30"/>
            </w:rPr>
            <w:fldChar w:fldCharType="end"/>
          </w:r>
        </w:p>
      </w:sdtContent>
    </w:sdt>
    <w:p>
      <w:pPr>
        <w:pStyle w:val="2"/>
        <w:widowControl w:val="0"/>
        <w:adjustRightInd/>
        <w:snapToGrid/>
        <w:spacing w:before="0" w:after="240"/>
        <w:rPr>
          <w:rFonts w:ascii="华文中宋" w:hAnsi="华文中宋" w:eastAsia="华文中宋"/>
          <w:szCs w:val="36"/>
        </w:rPr>
      </w:pPr>
      <w:bookmarkStart w:id="0" w:name="_Toc487373600"/>
      <w:bookmarkStart w:id="1" w:name="_Toc507683691"/>
      <w:r>
        <w:rPr>
          <w:rFonts w:hint="eastAsia" w:ascii="华文中宋" w:hAnsi="华文中宋" w:eastAsia="华文中宋"/>
          <w:szCs w:val="36"/>
        </w:rPr>
        <w:t>前  言</w:t>
      </w:r>
      <w:bookmarkEnd w:id="0"/>
      <w:bookmarkEnd w:id="1"/>
    </w:p>
    <w:p>
      <w:pPr>
        <w:spacing w:line="560" w:lineRule="exact"/>
        <w:ind w:firstLine="600" w:firstLineChars="200"/>
        <w:rPr>
          <w:rFonts w:ascii="仿宋_GB2312" w:hAnsi="Times New Roman" w:eastAsia="仿宋_GB2312" w:cs="Times New Roman"/>
          <w:snapToGrid w:val="0"/>
          <w:kern w:val="0"/>
          <w:sz w:val="30"/>
          <w:szCs w:val="30"/>
        </w:rPr>
      </w:pPr>
      <w:bookmarkStart w:id="2" w:name="_Toc487298245"/>
      <w:r>
        <w:rPr>
          <w:rFonts w:hint="eastAsia" w:ascii="仿宋_GB2312" w:hAnsi="Times New Roman" w:eastAsia="仿宋_GB2312" w:cs="Times New Roman"/>
          <w:snapToGrid w:val="0"/>
          <w:kern w:val="0"/>
          <w:sz w:val="30"/>
          <w:szCs w:val="30"/>
        </w:rPr>
        <w:t>战略性新兴产业是以重大技术突破和重大发展需求为基础，对经济社会全局和长远发展具有重大引领带动作用，知识技术密集、物质资源消耗少、成长潜力大、综合效益好的产业，具有导向性、全局性、动态性、可持续性特征，加快培育和发展战略性新兴产业，是加快转变经济发展方式，提升产业层次，推动传统产业升级，增强经济核心竞争力，形成新的经济增长点的根本要求和重要抓手。</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为了发挥柳州市作为广西传统工业基地的优势效应，把柳州市打造成为广西乃至全国战略性新兴产业发展的重点城市，统筹布局、统筹推进战略性新兴产业发展，实现人流、物流、资本流、技术流和信息流的集聚和配置，将战略性新兴产业的发展提到战略高度，培育形成柳州经济发展的新动能与新优势，特组织编制《柳州市战略性新兴产业发展 “十三五”规划》。</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本规划年限为2016～2020年。</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编制的主要依据及参考资料如下：</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1.《“十三五”国家战略性新兴产业发展规划》</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2.《中国制造2025》；</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3.《广西工业和信息化发展“十三五”规划》；</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4.《广西战略性新兴产业发展“十三五”规划》；</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5.《柳州市</w:t>
      </w:r>
      <w:r>
        <w:rPr>
          <w:rFonts w:ascii="仿宋_GB2312" w:hAnsi="Times New Roman" w:eastAsia="仿宋_GB2312" w:cs="Times New Roman"/>
          <w:snapToGrid w:val="0"/>
          <w:kern w:val="0"/>
          <w:sz w:val="30"/>
          <w:szCs w:val="30"/>
        </w:rPr>
        <w:t>国民经济和社会发展第十三个五年规划纲要</w:t>
      </w:r>
      <w:r>
        <w:rPr>
          <w:rFonts w:hint="eastAsia" w:ascii="仿宋_GB2312" w:hAnsi="Times New Roman" w:eastAsia="仿宋_GB2312" w:cs="Times New Roman"/>
          <w:snapToGrid w:val="0"/>
          <w:kern w:val="0"/>
          <w:sz w:val="30"/>
          <w:szCs w:val="30"/>
        </w:rPr>
        <w:t>》；</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6.《柳州市工业和信息化发展“十三五”规划》</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7.《柳州市城市总体规划（2010-2020年）》；</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8.《柳州市土地利用总体规划(2006-2020年)》。</w:t>
      </w:r>
    </w:p>
    <w:bookmarkEnd w:id="2"/>
    <w:p>
      <w:pPr>
        <w:pStyle w:val="2"/>
        <w:widowControl w:val="0"/>
        <w:adjustRightInd/>
        <w:snapToGrid/>
        <w:spacing w:before="240" w:after="240"/>
        <w:rPr>
          <w:rFonts w:ascii="华文中宋" w:hAnsi="华文中宋" w:eastAsia="华文中宋"/>
          <w:szCs w:val="36"/>
        </w:rPr>
      </w:pPr>
      <w:bookmarkStart w:id="3" w:name="_Toc507683692"/>
      <w:r>
        <w:rPr>
          <w:rFonts w:hint="eastAsia" w:ascii="华文中宋" w:hAnsi="华文中宋" w:eastAsia="华文中宋"/>
          <w:szCs w:val="36"/>
        </w:rPr>
        <w:t>第一章 发展基础和发展环境</w:t>
      </w:r>
      <w:bookmarkEnd w:id="3"/>
    </w:p>
    <w:p>
      <w:pPr>
        <w:pStyle w:val="3"/>
      </w:pPr>
      <w:bookmarkStart w:id="4" w:name="_Toc507683693"/>
      <w:r>
        <w:rPr>
          <w:rFonts w:hint="eastAsia"/>
        </w:rPr>
        <w:t>一、发展基础</w:t>
      </w:r>
      <w:bookmarkEnd w:id="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十二五”以来，柳州市紧紧抓住国家加快培育和发展战略性新兴产业的有利契机，围绕“提高水平、增强实力、形成优势”，把发展战略性新兴产业作为转变经济发展方式、提升产业层次、推动传统产业升级的重要途径，积极培育新能源汽车、高端装备制造、电子信息、新材料、节能环保、生物与制药等产业发展，全市战略性新兴产业呈现良好发展势头，促进柳州经济社会发展。</w:t>
      </w:r>
    </w:p>
    <w:p>
      <w:pPr>
        <w:pStyle w:val="4"/>
        <w:tabs>
          <w:tab w:val="left" w:pos="720"/>
        </w:tabs>
        <w:spacing w:before="120" w:after="120" w:line="240" w:lineRule="auto"/>
        <w:ind w:left="643"/>
        <w:rPr>
          <w:rFonts w:ascii="宋体" w:hAnsi="宋体" w:eastAsia="宋体" w:cs="Times New Roman"/>
          <w:color w:val="000000"/>
          <w:kern w:val="0"/>
          <w:lang w:val="zh-CN"/>
        </w:rPr>
      </w:pPr>
      <w:bookmarkStart w:id="5" w:name="_Toc507683694"/>
      <w:r>
        <w:rPr>
          <w:rFonts w:hint="eastAsia" w:ascii="宋体" w:hAnsi="宋体" w:eastAsia="宋体" w:cs="Times New Roman"/>
          <w:color w:val="000000"/>
          <w:kern w:val="0"/>
          <w:lang w:val="zh-CN"/>
        </w:rPr>
        <w:t>（一）产业规模不断壮大</w:t>
      </w:r>
      <w:bookmarkEnd w:id="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近年来，柳州市战略性新兴产业实现快速增长，2013年突破200亿元，2014年迈上300亿元台阶，2015年再上400亿元台阶，</w:t>
      </w:r>
      <w:r>
        <w:rPr>
          <w:rFonts w:ascii="仿宋_GB2312" w:hAnsi="Times New Roman" w:eastAsia="仿宋_GB2312" w:cs="Times New Roman"/>
          <w:snapToGrid w:val="0"/>
          <w:kern w:val="0"/>
          <w:sz w:val="30"/>
          <w:szCs w:val="30"/>
        </w:rPr>
        <w:t>2016</w:t>
      </w:r>
      <w:r>
        <w:rPr>
          <w:rFonts w:hint="eastAsia" w:ascii="仿宋_GB2312" w:hAnsi="Times New Roman" w:eastAsia="仿宋_GB2312" w:cs="Times New Roman"/>
          <w:snapToGrid w:val="0"/>
          <w:kern w:val="0"/>
          <w:sz w:val="30"/>
          <w:szCs w:val="30"/>
        </w:rPr>
        <w:t>年战略性新兴产业工业总产值达到</w:t>
      </w:r>
      <w:r>
        <w:rPr>
          <w:rFonts w:ascii="仿宋_GB2312" w:hAnsi="Times New Roman" w:eastAsia="仿宋_GB2312" w:cs="Times New Roman"/>
          <w:snapToGrid w:val="0"/>
          <w:kern w:val="0"/>
          <w:sz w:val="30"/>
          <w:szCs w:val="30"/>
        </w:rPr>
        <w:t>515.36</w:t>
      </w:r>
      <w:r>
        <w:rPr>
          <w:rFonts w:hint="eastAsia" w:ascii="仿宋_GB2312" w:hAnsi="Times New Roman" w:eastAsia="仿宋_GB2312" w:cs="Times New Roman"/>
          <w:snapToGrid w:val="0"/>
          <w:kern w:val="0"/>
          <w:sz w:val="30"/>
          <w:szCs w:val="30"/>
        </w:rPr>
        <w:t>亿元，占全市比重由</w:t>
      </w:r>
      <w:r>
        <w:rPr>
          <w:rFonts w:ascii="仿宋_GB2312" w:hAnsi="Times New Roman" w:eastAsia="仿宋_GB2312" w:cs="Times New Roman"/>
          <w:snapToGrid w:val="0"/>
          <w:kern w:val="0"/>
          <w:sz w:val="30"/>
          <w:szCs w:val="30"/>
        </w:rPr>
        <w:t>2010</w:t>
      </w:r>
      <w:r>
        <w:rPr>
          <w:rFonts w:hint="eastAsia" w:ascii="仿宋_GB2312" w:hAnsi="Times New Roman" w:eastAsia="仿宋_GB2312" w:cs="Times New Roman"/>
          <w:snapToGrid w:val="0"/>
          <w:kern w:val="0"/>
          <w:sz w:val="30"/>
          <w:szCs w:val="30"/>
        </w:rPr>
        <w:t>年的</w:t>
      </w:r>
      <w:r>
        <w:rPr>
          <w:rFonts w:ascii="仿宋_GB2312" w:hAnsi="Times New Roman" w:eastAsia="仿宋_GB2312" w:cs="Times New Roman"/>
          <w:snapToGrid w:val="0"/>
          <w:kern w:val="0"/>
          <w:sz w:val="30"/>
          <w:szCs w:val="30"/>
        </w:rPr>
        <w:t>2.1%</w:t>
      </w:r>
      <w:r>
        <w:rPr>
          <w:rFonts w:hint="eastAsia" w:ascii="仿宋_GB2312" w:hAnsi="Times New Roman" w:eastAsia="仿宋_GB2312" w:cs="Times New Roman"/>
          <w:snapToGrid w:val="0"/>
          <w:kern w:val="0"/>
          <w:sz w:val="30"/>
          <w:szCs w:val="30"/>
        </w:rPr>
        <w:t>提升到了</w:t>
      </w:r>
      <w:r>
        <w:rPr>
          <w:rFonts w:ascii="仿宋_GB2312" w:hAnsi="Times New Roman" w:eastAsia="仿宋_GB2312" w:cs="Times New Roman"/>
          <w:snapToGrid w:val="0"/>
          <w:kern w:val="0"/>
          <w:sz w:val="30"/>
          <w:szCs w:val="30"/>
        </w:rPr>
        <w:t>2016</w:t>
      </w:r>
      <w:r>
        <w:rPr>
          <w:rFonts w:hint="eastAsia" w:ascii="仿宋_GB2312" w:hAnsi="Times New Roman" w:eastAsia="仿宋_GB2312" w:cs="Times New Roman"/>
          <w:snapToGrid w:val="0"/>
          <w:kern w:val="0"/>
          <w:sz w:val="30"/>
          <w:szCs w:val="30"/>
        </w:rPr>
        <w:t>年的</w:t>
      </w:r>
      <w:r>
        <w:rPr>
          <w:rFonts w:ascii="仿宋_GB2312" w:hAnsi="Times New Roman" w:eastAsia="仿宋_GB2312" w:cs="Times New Roman"/>
          <w:snapToGrid w:val="0"/>
          <w:kern w:val="0"/>
          <w:sz w:val="30"/>
          <w:szCs w:val="30"/>
        </w:rPr>
        <w:t>11%</w:t>
      </w:r>
      <w:r>
        <w:rPr>
          <w:rFonts w:hint="eastAsia" w:ascii="仿宋_GB2312" w:hAnsi="Times New Roman" w:eastAsia="仿宋_GB2312" w:cs="Times New Roman"/>
          <w:snapToGrid w:val="0"/>
          <w:kern w:val="0"/>
          <w:sz w:val="30"/>
          <w:szCs w:val="30"/>
        </w:rPr>
        <w:t>。</w:t>
      </w:r>
    </w:p>
    <w:p>
      <w:pPr>
        <w:widowControl/>
        <w:shd w:val="clear" w:color="auto" w:fill="FFFFFF"/>
        <w:spacing w:beforeLines="50" w:afterLines="50"/>
        <w:jc w:val="center"/>
        <w:rPr>
          <w:rFonts w:cs="宋体" w:eastAsiaTheme="minorHAnsi"/>
          <w:color w:val="FF0000"/>
          <w:kern w:val="0"/>
          <w:sz w:val="30"/>
          <w:szCs w:val="30"/>
        </w:rPr>
      </w:pPr>
      <w:r>
        <w:rPr>
          <w:rFonts w:cs="宋体" w:eastAsiaTheme="minorHAnsi"/>
          <w:color w:val="FF0000"/>
          <w:kern w:val="0"/>
          <w:sz w:val="30"/>
          <w:szCs w:val="30"/>
        </w:rPr>
        <w:drawing>
          <wp:inline distT="0" distB="0" distL="0" distR="0">
            <wp:extent cx="5274310" cy="3067050"/>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300" w:lineRule="exact"/>
        <w:jc w:val="center"/>
        <w:rPr>
          <w:rFonts w:ascii="宋体" w:hAnsi="宋体" w:eastAsia="宋体" w:cs="Times New Roman"/>
          <w:b/>
          <w:snapToGrid w:val="0"/>
          <w:kern w:val="0"/>
          <w:sz w:val="24"/>
          <w:szCs w:val="24"/>
        </w:rPr>
      </w:pPr>
      <w:r>
        <w:rPr>
          <w:rFonts w:hint="eastAsia" w:ascii="宋体" w:hAnsi="宋体" w:eastAsia="宋体"/>
          <w:b/>
          <w:snapToGrid w:val="0"/>
          <w:kern w:val="0"/>
          <w:sz w:val="24"/>
          <w:szCs w:val="24"/>
        </w:rPr>
        <w:t>2010-2016年柳州市战略性新兴产业发展情况图</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柳城县鼎铭金属有限责任公司</w:t>
      </w:r>
      <w:r>
        <w:rPr>
          <w:rFonts w:ascii="仿宋_GB2312" w:hAnsi="Times New Roman" w:eastAsia="仿宋_GB2312" w:cs="Times New Roman"/>
          <w:snapToGrid w:val="0"/>
          <w:kern w:val="0"/>
          <w:sz w:val="30"/>
          <w:szCs w:val="30"/>
        </w:rPr>
        <w:t>10</w:t>
      </w:r>
      <w:r>
        <w:rPr>
          <w:rFonts w:hint="eastAsia" w:ascii="仿宋_GB2312" w:hAnsi="Times New Roman" w:eastAsia="仿宋_GB2312" w:cs="Times New Roman"/>
          <w:snapToGrid w:val="0"/>
          <w:kern w:val="0"/>
          <w:sz w:val="30"/>
          <w:szCs w:val="30"/>
        </w:rPr>
        <w:t>万吨新型特种钢项目竣工，形成高端不锈钢精炼、轧制、深加工产业链。广西晶联光电材料有限责任公司</w:t>
      </w:r>
      <w:r>
        <w:rPr>
          <w:rFonts w:ascii="仿宋_GB2312" w:hAnsi="Times New Roman" w:eastAsia="仿宋_GB2312" w:cs="Times New Roman"/>
          <w:snapToGrid w:val="0"/>
          <w:kern w:val="0"/>
          <w:sz w:val="30"/>
          <w:szCs w:val="30"/>
        </w:rPr>
        <w:t>ITO</w:t>
      </w:r>
      <w:r>
        <w:rPr>
          <w:rFonts w:hint="eastAsia" w:ascii="仿宋_GB2312" w:hAnsi="Times New Roman" w:eastAsia="仿宋_GB2312" w:cs="Times New Roman"/>
          <w:snapToGrid w:val="0"/>
          <w:kern w:val="0"/>
          <w:sz w:val="30"/>
          <w:szCs w:val="30"/>
        </w:rPr>
        <w:t>靶材规模化生产工艺技术取得突破，形成年产</w:t>
      </w:r>
      <w:r>
        <w:rPr>
          <w:rFonts w:ascii="仿宋_GB2312" w:hAnsi="Times New Roman" w:eastAsia="仿宋_GB2312" w:cs="Times New Roman"/>
          <w:snapToGrid w:val="0"/>
          <w:kern w:val="0"/>
          <w:sz w:val="30"/>
          <w:szCs w:val="30"/>
        </w:rPr>
        <w:t>30</w:t>
      </w:r>
      <w:r>
        <w:rPr>
          <w:rFonts w:hint="eastAsia" w:ascii="仿宋_GB2312" w:hAnsi="Times New Roman" w:eastAsia="仿宋_GB2312" w:cs="Times New Roman"/>
          <w:snapToGrid w:val="0"/>
          <w:kern w:val="0"/>
          <w:sz w:val="30"/>
          <w:szCs w:val="30"/>
        </w:rPr>
        <w:t>吨</w:t>
      </w:r>
      <w:r>
        <w:rPr>
          <w:rFonts w:ascii="仿宋_GB2312" w:hAnsi="Times New Roman" w:eastAsia="仿宋_GB2312" w:cs="Times New Roman"/>
          <w:snapToGrid w:val="0"/>
          <w:kern w:val="0"/>
          <w:sz w:val="30"/>
          <w:szCs w:val="30"/>
        </w:rPr>
        <w:t>ITO</w:t>
      </w:r>
      <w:r>
        <w:rPr>
          <w:rFonts w:hint="eastAsia" w:ascii="仿宋_GB2312" w:hAnsi="Times New Roman" w:eastAsia="仿宋_GB2312" w:cs="Times New Roman"/>
          <w:snapToGrid w:val="0"/>
          <w:kern w:val="0"/>
          <w:sz w:val="30"/>
          <w:szCs w:val="30"/>
        </w:rPr>
        <w:t>靶材生产能力。广西圣特药业有限公司壮药生产基地投产，柳州高通食品化工有限公司高纯度蔗糖脂肪酸酯产业化生产项目竣工。</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 w:name="_Toc507683695"/>
      <w:r>
        <w:rPr>
          <w:rFonts w:hint="eastAsia" w:ascii="宋体" w:hAnsi="宋体" w:eastAsia="宋体" w:cs="Times New Roman"/>
          <w:color w:val="000000"/>
          <w:kern w:val="0"/>
          <w:lang w:val="zh-CN"/>
        </w:rPr>
        <w:t>（二）</w:t>
      </w:r>
      <w:r>
        <w:rPr>
          <w:rFonts w:hint="eastAsia" w:ascii="宋体" w:hAnsi="宋体" w:eastAsia="宋体" w:cs="Times New Roman"/>
          <w:color w:val="000000"/>
          <w:kern w:val="0"/>
        </w:rPr>
        <w:t>重点</w:t>
      </w:r>
      <w:r>
        <w:rPr>
          <w:rFonts w:hint="eastAsia" w:ascii="宋体" w:hAnsi="宋体" w:eastAsia="宋体" w:cs="Times New Roman"/>
          <w:color w:val="000000"/>
          <w:kern w:val="0"/>
          <w:lang w:val="zh-CN"/>
        </w:rPr>
        <w:t>企业</w:t>
      </w:r>
      <w:bookmarkStart w:id="7" w:name="_Hlk499756784"/>
      <w:r>
        <w:rPr>
          <w:rFonts w:hint="eastAsia" w:ascii="宋体" w:hAnsi="宋体" w:eastAsia="宋体" w:cs="Times New Roman"/>
          <w:color w:val="000000"/>
          <w:kern w:val="0"/>
        </w:rPr>
        <w:t>不断成长</w:t>
      </w:r>
      <w:bookmarkEnd w:id="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近年来，柳州市把发展战略性新兴产业作为推动传统产业转型升级的主要抓手，一批企业迅速成长。上汽通用五菱汽车股份有限公司</w:t>
      </w:r>
      <w:r>
        <w:rPr>
          <w:rFonts w:ascii="仿宋_GB2312" w:hAnsi="Times New Roman" w:eastAsia="仿宋_GB2312" w:cs="Times New Roman"/>
          <w:snapToGrid w:val="0"/>
          <w:kern w:val="0"/>
          <w:sz w:val="30"/>
          <w:szCs w:val="30"/>
        </w:rPr>
        <w:t>E100</w:t>
      </w:r>
      <w:r>
        <w:rPr>
          <w:rFonts w:hint="eastAsia" w:ascii="仿宋_GB2312" w:hAnsi="Times New Roman" w:eastAsia="仿宋_GB2312" w:cs="Times New Roman"/>
          <w:snapToGrid w:val="0"/>
          <w:kern w:val="0"/>
          <w:sz w:val="30"/>
          <w:szCs w:val="30"/>
        </w:rPr>
        <w:t>新能源汽车、东风柳州汽车有限公司</w:t>
      </w:r>
      <w:r>
        <w:rPr>
          <w:rFonts w:ascii="仿宋_GB2312" w:hAnsi="Times New Roman" w:eastAsia="仿宋_GB2312" w:cs="Times New Roman"/>
          <w:snapToGrid w:val="0"/>
          <w:kern w:val="0"/>
          <w:sz w:val="30"/>
          <w:szCs w:val="30"/>
        </w:rPr>
        <w:t>S50</w:t>
      </w:r>
      <w:r>
        <w:rPr>
          <w:rFonts w:hint="eastAsia" w:ascii="仿宋_GB2312" w:hAnsi="Times New Roman" w:eastAsia="仿宋_GB2312" w:cs="Times New Roman"/>
          <w:snapToGrid w:val="0"/>
          <w:kern w:val="0"/>
          <w:sz w:val="30"/>
          <w:szCs w:val="30"/>
        </w:rPr>
        <w:t>新能源汽车成功研发。广西七色珠光材料股份有限公司自主研发掌握了珠光颜料制造的多项核心技术，合成云母生产技术全球领先。广西柳州银海铝业股份有限公司装备水平领先，拥有国内最大宽幅铝板带热轧生产线。联合汽车电子（柳州）有限公司一期项目竣工，形成汽车电喷以及车身电子的百万台套生产能力。耐世特汽车系统公司柳州基地建成投产，独家生产面向全球的有刷电动助力转向系统（BEPS）产品。安琪酵母（柳州）有限公司酵母抽提物产能迈上两万吨台阶，</w:t>
      </w:r>
      <w:r>
        <w:rPr>
          <w:rFonts w:ascii="仿宋_GB2312" w:hAnsi="Times New Roman" w:eastAsia="仿宋_GB2312" w:cs="Times New Roman"/>
          <w:snapToGrid w:val="0"/>
          <w:kern w:val="0"/>
          <w:sz w:val="30"/>
          <w:szCs w:val="30"/>
        </w:rPr>
        <w:t>酵母生产规模、市场占有率均居国内之首</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广西柳工机械股份有限公司零部件再制造业务</w:t>
      </w:r>
      <w:r>
        <w:rPr>
          <w:rFonts w:hint="eastAsia" w:ascii="仿宋_GB2312" w:hAnsi="Times New Roman" w:eastAsia="仿宋_GB2312" w:cs="Times New Roman"/>
          <w:snapToGrid w:val="0"/>
          <w:kern w:val="0"/>
          <w:sz w:val="30"/>
          <w:szCs w:val="30"/>
        </w:rPr>
        <w:t>突破关键</w:t>
      </w:r>
      <w:r>
        <w:rPr>
          <w:rFonts w:ascii="仿宋_GB2312" w:hAnsi="Times New Roman" w:eastAsia="仿宋_GB2312" w:cs="Times New Roman"/>
          <w:snapToGrid w:val="0"/>
          <w:kern w:val="0"/>
          <w:sz w:val="30"/>
          <w:szCs w:val="30"/>
        </w:rPr>
        <w:t>技术，</w:t>
      </w:r>
      <w:r>
        <w:rPr>
          <w:rFonts w:hint="eastAsia" w:ascii="仿宋_GB2312" w:hAnsi="Times New Roman" w:eastAsia="仿宋_GB2312" w:cs="Times New Roman"/>
          <w:snapToGrid w:val="0"/>
          <w:kern w:val="0"/>
          <w:sz w:val="30"/>
          <w:szCs w:val="30"/>
        </w:rPr>
        <w:t>形成完整</w:t>
      </w:r>
      <w:r>
        <w:rPr>
          <w:rFonts w:ascii="仿宋_GB2312" w:hAnsi="Times New Roman" w:eastAsia="仿宋_GB2312" w:cs="Times New Roman"/>
          <w:snapToGrid w:val="0"/>
          <w:kern w:val="0"/>
          <w:sz w:val="30"/>
          <w:szCs w:val="30"/>
        </w:rPr>
        <w:t>的整机再制造业务</w:t>
      </w:r>
      <w:r>
        <w:rPr>
          <w:rFonts w:hint="eastAsia" w:ascii="仿宋_GB2312" w:hAnsi="Times New Roman" w:eastAsia="仿宋_GB2312" w:cs="Times New Roman"/>
          <w:snapToGrid w:val="0"/>
          <w:kern w:val="0"/>
          <w:sz w:val="30"/>
          <w:szCs w:val="30"/>
        </w:rPr>
        <w:t>能力。广西柳州钢铁（集团）公司大力发展循环经济，投资60亿元建成了500多台（套）“三废”治理设施。</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 w:name="_Toc507683696"/>
      <w:r>
        <w:rPr>
          <w:rFonts w:hint="eastAsia" w:ascii="宋体" w:hAnsi="宋体" w:eastAsia="宋体" w:cs="Times New Roman"/>
          <w:color w:val="000000"/>
          <w:kern w:val="0"/>
          <w:lang w:val="zh-CN"/>
        </w:rPr>
        <w:t>（三）创新引领不断增强</w:t>
      </w:r>
      <w:bookmarkEnd w:id="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战略性新兴产业创新体系逐步建立，广西七色珠光材料股份有限公司、柳城县鼎铭金属制品有限公司、柳州航盛科技有限公司、广西德邦科技有限公司等</w:t>
      </w:r>
      <w:r>
        <w:rPr>
          <w:rFonts w:ascii="仿宋_GB2312" w:hAnsi="Times New Roman" w:eastAsia="仿宋_GB2312" w:cs="Times New Roman"/>
          <w:snapToGrid w:val="0"/>
          <w:kern w:val="0"/>
          <w:sz w:val="30"/>
          <w:szCs w:val="30"/>
        </w:rPr>
        <w:t>12</w:t>
      </w:r>
      <w:r>
        <w:rPr>
          <w:rFonts w:hint="eastAsia" w:ascii="仿宋_GB2312" w:hAnsi="Times New Roman" w:eastAsia="仿宋_GB2312" w:cs="Times New Roman"/>
          <w:snapToGrid w:val="0"/>
          <w:kern w:val="0"/>
          <w:sz w:val="30"/>
          <w:szCs w:val="30"/>
        </w:rPr>
        <w:t>家企业成功创建自治区级企业技术中心，广西晶联光电材料有限责任公司、柳州海达新型材料科技有限公司、柳州圣美康医疗器械有限公司等</w:t>
      </w:r>
      <w:r>
        <w:rPr>
          <w:rFonts w:ascii="仿宋_GB2312" w:hAnsi="Times New Roman" w:eastAsia="仿宋_GB2312" w:cs="Times New Roman"/>
          <w:snapToGrid w:val="0"/>
          <w:kern w:val="0"/>
          <w:sz w:val="30"/>
          <w:szCs w:val="30"/>
        </w:rPr>
        <w:t>10</w:t>
      </w:r>
      <w:r>
        <w:rPr>
          <w:rFonts w:hint="eastAsia" w:ascii="仿宋_GB2312" w:hAnsi="Times New Roman" w:eastAsia="仿宋_GB2312" w:cs="Times New Roman"/>
          <w:snapToGrid w:val="0"/>
          <w:kern w:val="0"/>
          <w:sz w:val="30"/>
          <w:szCs w:val="30"/>
        </w:rPr>
        <w:t>家企业成功创建市级企业技术中心，柳州欧维姆机械股份有限公司获得“国家技术创新示范企业”。柳州市荣获国家</w:t>
      </w:r>
      <w:r>
        <w:rPr>
          <w:rFonts w:ascii="仿宋_GB2312" w:hAnsi="Times New Roman" w:eastAsia="仿宋_GB2312" w:cs="Times New Roman"/>
          <w:snapToGrid w:val="0"/>
          <w:kern w:val="0"/>
          <w:sz w:val="30"/>
          <w:szCs w:val="30"/>
        </w:rPr>
        <w:t>2016</w:t>
      </w:r>
      <w:r>
        <w:rPr>
          <w:rFonts w:hint="eastAsia" w:ascii="仿宋_GB2312" w:hAnsi="Times New Roman" w:eastAsia="仿宋_GB2312" w:cs="Times New Roman"/>
          <w:snapToGrid w:val="0"/>
          <w:kern w:val="0"/>
          <w:sz w:val="30"/>
          <w:szCs w:val="30"/>
        </w:rPr>
        <w:t>年小微企业创业创新基地城市示范试点，成为广西唯一、全国</w:t>
      </w:r>
      <w:r>
        <w:rPr>
          <w:rFonts w:ascii="仿宋_GB2312" w:hAnsi="Times New Roman" w:eastAsia="仿宋_GB2312" w:cs="Times New Roman"/>
          <w:snapToGrid w:val="0"/>
          <w:kern w:val="0"/>
          <w:sz w:val="30"/>
          <w:szCs w:val="30"/>
        </w:rPr>
        <w:t>15</w:t>
      </w:r>
      <w:r>
        <w:rPr>
          <w:rFonts w:hint="eastAsia" w:ascii="仿宋_GB2312" w:hAnsi="Times New Roman" w:eastAsia="仿宋_GB2312" w:cs="Times New Roman"/>
          <w:snapToGrid w:val="0"/>
          <w:kern w:val="0"/>
          <w:sz w:val="30"/>
          <w:szCs w:val="30"/>
        </w:rPr>
        <w:t>个“两创”基地城市示范试点之一，柳东新区获得国家小微企业创业创新示范基地称号。</w:t>
      </w:r>
    </w:p>
    <w:bookmarkEnd w:id="7"/>
    <w:p>
      <w:pPr>
        <w:pStyle w:val="4"/>
        <w:tabs>
          <w:tab w:val="left" w:pos="720"/>
        </w:tabs>
        <w:spacing w:before="120" w:after="120" w:line="240" w:lineRule="auto"/>
        <w:ind w:left="643"/>
        <w:rPr>
          <w:rFonts w:ascii="宋体" w:hAnsi="宋体" w:eastAsia="宋体" w:cs="Times New Roman"/>
          <w:color w:val="000000"/>
          <w:kern w:val="0"/>
          <w:lang w:val="zh-CN"/>
        </w:rPr>
      </w:pPr>
      <w:bookmarkStart w:id="9" w:name="_Toc507683697"/>
      <w:r>
        <w:rPr>
          <w:rFonts w:hint="eastAsia" w:ascii="宋体" w:hAnsi="宋体" w:eastAsia="宋体" w:cs="Times New Roman"/>
          <w:color w:val="000000"/>
          <w:kern w:val="0"/>
          <w:lang w:val="zh-CN"/>
        </w:rPr>
        <w:t>（四）产业环境不断优化</w:t>
      </w:r>
      <w:bookmarkEnd w:id="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为支持战略性新兴产业做强做大、做专做精，柳州市委、市政府在制定政策、资金投入等方面加大支持力度。</w:t>
      </w:r>
      <w:r>
        <w:rPr>
          <w:rFonts w:ascii="仿宋_GB2312" w:hAnsi="Times New Roman" w:eastAsia="仿宋_GB2312" w:cs="Times New Roman"/>
          <w:snapToGrid w:val="0"/>
          <w:kern w:val="0"/>
          <w:sz w:val="30"/>
          <w:szCs w:val="30"/>
        </w:rPr>
        <w:t>2013</w:t>
      </w:r>
      <w:r>
        <w:rPr>
          <w:rFonts w:hint="eastAsia" w:ascii="仿宋_GB2312" w:hAnsi="Times New Roman" w:eastAsia="仿宋_GB2312" w:cs="Times New Roman"/>
          <w:snapToGrid w:val="0"/>
          <w:kern w:val="0"/>
          <w:sz w:val="30"/>
          <w:szCs w:val="30"/>
        </w:rPr>
        <w:t>年，制定了《柳州市关于加快培育发展战略性新兴产业的意见》，市财政每年安排战略性新兴产业发展专项资金，重点用于支持战略性新兴产业骨干企业培育，新项目引进及示范基地建设。</w:t>
      </w:r>
      <w:r>
        <w:rPr>
          <w:rFonts w:ascii="仿宋_GB2312" w:hAnsi="Times New Roman" w:eastAsia="仿宋_GB2312" w:cs="Times New Roman"/>
          <w:snapToGrid w:val="0"/>
          <w:kern w:val="0"/>
          <w:sz w:val="30"/>
          <w:szCs w:val="30"/>
        </w:rPr>
        <w:t>2016</w:t>
      </w:r>
      <w:r>
        <w:rPr>
          <w:rFonts w:hint="eastAsia" w:ascii="仿宋_GB2312" w:hAnsi="Times New Roman" w:eastAsia="仿宋_GB2312" w:cs="Times New Roman"/>
          <w:snapToGrid w:val="0"/>
          <w:kern w:val="0"/>
          <w:sz w:val="30"/>
          <w:szCs w:val="30"/>
        </w:rPr>
        <w:t>年出台《柳州市推进新能源汽车产业发展的若干意见》、《关于鼓励柳州市工业机器人推广应用暂行办法》、《柳州智能制造</w:t>
      </w:r>
      <w:r>
        <w:rPr>
          <w:rFonts w:ascii="仿宋_GB2312" w:hAnsi="Times New Roman" w:eastAsia="仿宋_GB2312" w:cs="Times New Roman"/>
          <w:snapToGrid w:val="0"/>
          <w:kern w:val="0"/>
          <w:sz w:val="30"/>
          <w:szCs w:val="30"/>
        </w:rPr>
        <w:t>2025</w:t>
      </w:r>
      <w:r>
        <w:rPr>
          <w:rFonts w:hint="eastAsia" w:ascii="仿宋_GB2312" w:hAnsi="Times New Roman" w:eastAsia="仿宋_GB2312" w:cs="Times New Roman"/>
          <w:snapToGrid w:val="0"/>
          <w:kern w:val="0"/>
          <w:sz w:val="30"/>
          <w:szCs w:val="30"/>
        </w:rPr>
        <w:t>》等一系列文件措施，促进新能源汽车、高端装备制造等产业发展。</w:t>
      </w:r>
    </w:p>
    <w:p>
      <w:pPr>
        <w:pStyle w:val="3"/>
      </w:pPr>
      <w:bookmarkStart w:id="10" w:name="_Toc507683698"/>
      <w:r>
        <w:rPr>
          <w:rFonts w:hint="eastAsia"/>
        </w:rPr>
        <w:t>二、发展</w:t>
      </w:r>
      <w:r>
        <w:rPr>
          <w:rFonts w:hint="eastAsia"/>
          <w:lang w:val="en-US"/>
        </w:rPr>
        <w:t>环境</w:t>
      </w:r>
      <w:bookmarkEnd w:id="10"/>
    </w:p>
    <w:p>
      <w:pPr>
        <w:pStyle w:val="4"/>
        <w:tabs>
          <w:tab w:val="left" w:pos="720"/>
        </w:tabs>
        <w:spacing w:before="120" w:after="120" w:line="240" w:lineRule="auto"/>
        <w:ind w:left="643"/>
        <w:rPr>
          <w:rFonts w:ascii="宋体" w:hAnsi="宋体" w:eastAsia="宋体" w:cs="Times New Roman"/>
          <w:color w:val="000000"/>
          <w:kern w:val="0"/>
          <w:lang w:val="zh-CN"/>
        </w:rPr>
      </w:pPr>
      <w:bookmarkStart w:id="11" w:name="_Toc507683699"/>
      <w:r>
        <w:rPr>
          <w:rFonts w:hint="eastAsia" w:ascii="宋体" w:hAnsi="宋体" w:eastAsia="宋体" w:cs="Times New Roman"/>
          <w:color w:val="000000"/>
          <w:kern w:val="0"/>
          <w:lang w:val="zh-CN"/>
        </w:rPr>
        <w:t>（一）机遇</w:t>
      </w:r>
      <w:bookmarkEnd w:id="11"/>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1.科技变革带来产业升级新机遇。</w:t>
      </w:r>
      <w:r>
        <w:rPr>
          <w:rFonts w:hint="eastAsia" w:ascii="仿宋_GB2312" w:hAnsi="Times New Roman" w:eastAsia="仿宋_GB2312" w:cs="Times New Roman"/>
          <w:snapToGrid w:val="0"/>
          <w:kern w:val="0"/>
          <w:sz w:val="30"/>
          <w:szCs w:val="30"/>
        </w:rPr>
        <w:t>我国战略性新兴产业发展步伐加快，新兴技术不断涌现、传统产业与新技术融合正在引发影响深远的产业变革。互联网浪潮不断高涨，信息技术推动各行业由数字化、网络化向智能化方向演进，加速产业链、创新链、价值链重构。3D打印技术、机器人、纳米材料等将改变制造业国际分工。能源革命深度裂变，清洁生产技术应用渐广，这将导致国内消费结构发生深刻变化，产业转型升级向更高层级迈进，产业组织结构加速重构。作为广西传统工业基地，柳州在汽车、钢铁、工程机械等领域具备一定的应用基础和局部优势，新一轮科技变革为战略性新兴产业带来了更多的选择方向和转型机遇。</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2.全面开放推动产业合作新格局。</w:t>
      </w:r>
      <w:r>
        <w:rPr>
          <w:rFonts w:hint="eastAsia" w:ascii="仿宋_GB2312" w:hAnsi="Times New Roman" w:eastAsia="仿宋_GB2312" w:cs="Times New Roman"/>
          <w:snapToGrid w:val="0"/>
          <w:kern w:val="0"/>
          <w:sz w:val="30"/>
          <w:szCs w:val="30"/>
        </w:rPr>
        <w:t>“一带一路”战略的实施，将促进柳州企业进一步加大对外开放合作力度，全面加强与东盟国家、粤港台、中南西南等区域产业合作。珠江—西江经济带上升为国家战略，提出以推进协同发展为主线，以全面深化改革开放为动力，着力构筑开放合作新高地，努力把珠江—西江经济带打造成为我国西南、中南地区开放发展新的增长极，将进一步拓展柳州产业合作空间。</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3.国家政策提供产业发展新动力。</w:t>
      </w:r>
      <w:r>
        <w:rPr>
          <w:rFonts w:hint="eastAsia" w:ascii="仿宋_GB2312" w:hAnsi="Times New Roman" w:eastAsia="仿宋_GB2312" w:cs="Times New Roman"/>
          <w:snapToGrid w:val="0"/>
          <w:kern w:val="0"/>
          <w:sz w:val="30"/>
          <w:szCs w:val="30"/>
        </w:rPr>
        <w:t>近年来，国家持续实施创新驱动发展战略、战略性新兴产业作为供给侧结构性改革的重要举措和补短板的重要内容，在推进经济社会发展中的地位和作用更加突出。《“十三五”国家战略性新兴产业发展规划》提出提升创新能力，深化国际合作，进一步发展壮大新一代信息技术、高端装备、新材料、生物、新能源汽车、新能源、节能环保、数字创意等战略性新兴产业，推动更广领域新技术、新产品、新业态、新模式蓬勃发展，建设制造强国。良好的政策环境，将为我市战略性新兴产业聚集资本、人才、技术、管理等先进生产要素，营造大众创业、万众创新的社会氛围，加快柳州战略性新兴产业发展的步伐。</w:t>
      </w:r>
    </w:p>
    <w:p>
      <w:pPr>
        <w:pStyle w:val="4"/>
        <w:tabs>
          <w:tab w:val="left" w:pos="720"/>
        </w:tabs>
        <w:spacing w:before="120" w:after="120" w:line="240" w:lineRule="auto"/>
        <w:ind w:left="643"/>
        <w:rPr>
          <w:rFonts w:ascii="宋体" w:hAnsi="宋体" w:eastAsia="宋体" w:cs="Times New Roman"/>
          <w:color w:val="000000"/>
          <w:kern w:val="0"/>
          <w:lang w:val="zh-CN"/>
        </w:rPr>
      </w:pPr>
      <w:bookmarkStart w:id="12" w:name="_Toc507683700"/>
      <w:r>
        <w:rPr>
          <w:rFonts w:hint="eastAsia" w:ascii="宋体" w:hAnsi="宋体" w:eastAsia="宋体" w:cs="Times New Roman"/>
          <w:color w:val="000000"/>
          <w:kern w:val="0"/>
          <w:lang w:val="zh-CN"/>
        </w:rPr>
        <w:t>（二）挑战</w:t>
      </w:r>
      <w:bookmarkEnd w:id="12"/>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1.经济发展的复杂性和不确定性增多。</w:t>
      </w:r>
      <w:r>
        <w:rPr>
          <w:rFonts w:hint="eastAsia" w:ascii="仿宋_GB2312" w:hAnsi="Times New Roman" w:eastAsia="仿宋_GB2312" w:cs="Times New Roman"/>
          <w:snapToGrid w:val="0"/>
          <w:kern w:val="0"/>
          <w:sz w:val="30"/>
          <w:szCs w:val="30"/>
        </w:rPr>
        <w:t>世界经济仍在深度调整，复苏进程艰难曲折。我国“三期叠加”特征明显，经济发展不平衡、不协调、不可持续问题仍然突出。新旧增长动力逐步转换，传统增长动力减弱，新兴增长动力难以接续，稳增长压力大。先进制造业和现代服务业发展滞后，转型升级难度大。经济走势的复杂性和不确定性直接或间接地制约了柳州工业转型升级和经济平稳健康发展。</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2.城市经济竞争日趋激烈。</w:t>
      </w:r>
      <w:r>
        <w:rPr>
          <w:rFonts w:hint="eastAsia" w:ascii="仿宋_GB2312" w:hAnsi="Times New Roman" w:eastAsia="仿宋_GB2312" w:cs="Times New Roman"/>
          <w:snapToGrid w:val="0"/>
          <w:kern w:val="0"/>
          <w:sz w:val="30"/>
          <w:szCs w:val="30"/>
        </w:rPr>
        <w:t>从国内来看，广东和北京具有新一代信息技术产业的明显优势，上海和山东在新能源汽车推广应用方面引领全国，江西和内蒙古在新材料领域发展强势，国内各省市在战略性新兴产业的各领域迅速发力。从广西区内来看，各市产业同构现象严重，有</w:t>
      </w:r>
      <w:r>
        <w:rPr>
          <w:rFonts w:ascii="仿宋_GB2312" w:hAnsi="Times New Roman" w:eastAsia="仿宋_GB2312" w:cs="Times New Roman"/>
          <w:snapToGrid w:val="0"/>
          <w:kern w:val="0"/>
          <w:sz w:val="30"/>
          <w:szCs w:val="30"/>
        </w:rPr>
        <w:t>13</w:t>
      </w:r>
      <w:r>
        <w:rPr>
          <w:rFonts w:hint="eastAsia" w:ascii="仿宋_GB2312" w:hAnsi="Times New Roman" w:eastAsia="仿宋_GB2312" w:cs="Times New Roman"/>
          <w:snapToGrid w:val="0"/>
          <w:kern w:val="0"/>
          <w:sz w:val="30"/>
          <w:szCs w:val="30"/>
        </w:rPr>
        <w:t>个市选择了新能源和新材料产业，招商引资力度逐年加强、高端人才的抢占趋于白热化。南宁的轨道交通和新材料、玉林的高端装备制造和生物与制药、桂林、北海的信息技术、梧州的节能环保等战略性新兴产业发展迅速、这使柳州面临着与其它城市在资源、市场、产业引进等领域更为激烈的竞争。</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3.区位优势不明显。</w:t>
      </w:r>
      <w:r>
        <w:rPr>
          <w:rFonts w:hint="eastAsia" w:ascii="仿宋_GB2312" w:hAnsi="Times New Roman" w:eastAsia="仿宋_GB2312" w:cs="Times New Roman"/>
          <w:snapToGrid w:val="0"/>
          <w:kern w:val="0"/>
          <w:sz w:val="30"/>
          <w:szCs w:val="30"/>
        </w:rPr>
        <w:t>北上广深等城市的技术积累和先发优势，拥有参与国际市场竞争的丰富经验和制造基础，为掌握新一轮产业变革话语权提供了有利条件。广西北部湾经济区开放开发，优化了南宁、北海、钦州、防城港的投资环境和基础设施建设。南广、贵广高铁开通运营和粤桂黔高铁经济带建设，促进了梧州、贺州与广东的联系。桂林市逐步成为粤湘贵黔省会</w:t>
      </w:r>
      <w:r>
        <w:rPr>
          <w:rFonts w:ascii="仿宋_GB2312" w:hAnsi="Times New Roman" w:eastAsia="仿宋_GB2312" w:cs="Times New Roman"/>
          <w:snapToGrid w:val="0"/>
          <w:kern w:val="0"/>
          <w:sz w:val="30"/>
          <w:szCs w:val="30"/>
        </w:rPr>
        <w:t>3</w:t>
      </w:r>
      <w:r>
        <w:rPr>
          <w:rFonts w:hint="eastAsia" w:ascii="仿宋_GB2312" w:hAnsi="Times New Roman" w:eastAsia="仿宋_GB2312" w:cs="Times New Roman"/>
          <w:snapToGrid w:val="0"/>
          <w:kern w:val="0"/>
          <w:sz w:val="30"/>
          <w:szCs w:val="30"/>
        </w:rPr>
        <w:t>小时经济圈的区域性中心和“一带一路”有机衔接的综合交通节点，为扩大新兴产业对外开放，提供了发展机遇。柳州区位优势的弱化，使获取产业</w:t>
      </w:r>
      <w:r>
        <w:rPr>
          <w:rFonts w:ascii="仿宋_GB2312" w:hAnsi="Times New Roman" w:eastAsia="仿宋_GB2312" w:cs="Times New Roman"/>
          <w:snapToGrid w:val="0"/>
          <w:kern w:val="0"/>
          <w:sz w:val="30"/>
          <w:szCs w:val="30"/>
        </w:rPr>
        <w:t>投资</w:t>
      </w:r>
      <w:r>
        <w:rPr>
          <w:rFonts w:hint="eastAsia" w:ascii="仿宋_GB2312" w:hAnsi="Times New Roman" w:eastAsia="仿宋_GB2312" w:cs="Times New Roman"/>
          <w:snapToGrid w:val="0"/>
          <w:kern w:val="0"/>
          <w:sz w:val="30"/>
          <w:szCs w:val="30"/>
        </w:rPr>
        <w:t>的机会减弱。</w:t>
      </w:r>
    </w:p>
    <w:p>
      <w:pPr>
        <w:pStyle w:val="4"/>
        <w:tabs>
          <w:tab w:val="left" w:pos="720"/>
        </w:tabs>
        <w:spacing w:before="120" w:after="120" w:line="240" w:lineRule="auto"/>
        <w:ind w:left="643"/>
        <w:rPr>
          <w:rFonts w:ascii="宋体" w:hAnsi="宋体" w:eastAsia="宋体" w:cs="Times New Roman"/>
          <w:color w:val="000000"/>
          <w:kern w:val="0"/>
          <w:lang w:val="zh-CN"/>
        </w:rPr>
      </w:pPr>
      <w:bookmarkStart w:id="13" w:name="_Toc507683701"/>
      <w:r>
        <w:rPr>
          <w:rFonts w:hint="eastAsia" w:ascii="宋体" w:hAnsi="宋体" w:eastAsia="宋体" w:cs="Times New Roman"/>
          <w:color w:val="000000"/>
          <w:kern w:val="0"/>
          <w:lang w:val="zh-CN"/>
        </w:rPr>
        <w:t>（三）优势</w:t>
      </w:r>
      <w:bookmarkEnd w:id="13"/>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1.工业基础条件好。</w:t>
      </w:r>
      <w:r>
        <w:rPr>
          <w:rFonts w:hint="eastAsia" w:ascii="仿宋_GB2312" w:hAnsi="Times New Roman" w:eastAsia="仿宋_GB2312" w:cs="Times New Roman"/>
          <w:snapToGrid w:val="0"/>
          <w:kern w:val="0"/>
          <w:sz w:val="30"/>
          <w:szCs w:val="30"/>
        </w:rPr>
        <w:t>经过多年发展，柳州成为我国中南、西南重要的工业基地，拥有上汽通用五菱、东风柳汽、柳钢、柳工、柳烟、鱼峰水泥、两面针等一批国内和区域领先的企业，同时拥有柳东、阳和、河西、新兴、白露、洛维等工业园区，工业总产值一直位居广西各城市之首，2016年工业总产值4685.1亿元，工业对经济增长的贡献率达到49.3%。较为完备的产业体系，为传统产业向战略性新兴产业的转型提供了产能、资金、人才和市场等基础条件。</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2.产业人才队伍完整。</w:t>
      </w:r>
      <w:r>
        <w:rPr>
          <w:rFonts w:ascii="仿宋_GB2312" w:hAnsi="Times New Roman" w:eastAsia="仿宋_GB2312" w:cs="Times New Roman"/>
          <w:snapToGrid w:val="0"/>
          <w:kern w:val="0"/>
          <w:sz w:val="30"/>
          <w:szCs w:val="30"/>
        </w:rPr>
        <w:t>柳州</w:t>
      </w:r>
      <w:r>
        <w:rPr>
          <w:rFonts w:hint="eastAsia" w:ascii="仿宋_GB2312" w:hAnsi="Times New Roman" w:eastAsia="仿宋_GB2312" w:cs="Times New Roman"/>
          <w:snapToGrid w:val="0"/>
          <w:kern w:val="0"/>
          <w:sz w:val="30"/>
          <w:szCs w:val="30"/>
        </w:rPr>
        <w:t>4</w:t>
      </w:r>
      <w:r>
        <w:rPr>
          <w:rFonts w:ascii="仿宋_GB2312" w:hAnsi="Times New Roman" w:eastAsia="仿宋_GB2312" w:cs="Times New Roman"/>
          <w:snapToGrid w:val="0"/>
          <w:kern w:val="0"/>
          <w:sz w:val="30"/>
          <w:szCs w:val="30"/>
        </w:rPr>
        <w:t>0万产业工人</w:t>
      </w:r>
      <w:r>
        <w:rPr>
          <w:rFonts w:hint="eastAsia" w:ascii="仿宋_GB2312" w:hAnsi="Times New Roman" w:eastAsia="仿宋_GB2312" w:cs="Times New Roman"/>
          <w:snapToGrid w:val="0"/>
          <w:kern w:val="0"/>
          <w:sz w:val="30"/>
          <w:szCs w:val="30"/>
        </w:rPr>
        <w:t>支撑了工业的发展，历经多年建成了一支资源丰富、结构完整、务实肯干的操作技能人才队伍，涌现出一批批</w:t>
      </w:r>
      <w:r>
        <w:rPr>
          <w:rFonts w:ascii="仿宋_GB2312" w:hAnsi="Times New Roman" w:eastAsia="仿宋_GB2312" w:cs="Times New Roman"/>
          <w:snapToGrid w:val="0"/>
          <w:kern w:val="0"/>
          <w:sz w:val="30"/>
          <w:szCs w:val="30"/>
        </w:rPr>
        <w:t>“柳州工匠”</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按照</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城校互融、资源共享</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园校互融、校企共建</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的建设思路</w:t>
      </w:r>
      <w:r>
        <w:rPr>
          <w:rFonts w:hint="eastAsia" w:ascii="仿宋_GB2312" w:hAnsi="Times New Roman" w:eastAsia="仿宋_GB2312" w:cs="Times New Roman"/>
          <w:snapToGrid w:val="0"/>
          <w:kern w:val="0"/>
          <w:sz w:val="30"/>
          <w:szCs w:val="30"/>
        </w:rPr>
        <w:t>，柳州市每年经过职业院校培养和转移就业的人数超过5万人，职业教育已成为柳州工业化、城镇化的加速器。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3.工业文化底蕴深厚。</w:t>
      </w:r>
      <w:r>
        <w:rPr>
          <w:rFonts w:hint="eastAsia" w:ascii="仿宋_GB2312" w:hAnsi="Times New Roman" w:eastAsia="仿宋_GB2312" w:cs="Times New Roman"/>
          <w:snapToGrid w:val="0"/>
          <w:kern w:val="0"/>
          <w:sz w:val="30"/>
          <w:szCs w:val="30"/>
        </w:rPr>
        <w:t>多年来，柳州工业发展孕育了具有柳州特色的工业文化，</w:t>
      </w:r>
      <w:r>
        <w:rPr>
          <w:rFonts w:ascii="仿宋_GB2312" w:hAnsi="Times New Roman" w:eastAsia="仿宋_GB2312" w:cs="Times New Roman"/>
          <w:snapToGrid w:val="0"/>
          <w:kern w:val="0"/>
          <w:sz w:val="30"/>
          <w:szCs w:val="30"/>
        </w:rPr>
        <w:t>赋予了柳州开明开放，敢为人先的精神</w:t>
      </w:r>
      <w:r>
        <w:rPr>
          <w:rFonts w:hint="eastAsia" w:ascii="仿宋_GB2312" w:hAnsi="Times New Roman" w:eastAsia="仿宋_GB2312" w:cs="Times New Roman"/>
          <w:snapToGrid w:val="0"/>
          <w:kern w:val="0"/>
          <w:sz w:val="30"/>
          <w:szCs w:val="30"/>
        </w:rPr>
        <w:t>。柳州市坚持实业兴市，将做优做强实体经济作为立市之基，把质量、创新双轮驱动作为转型之要，</w:t>
      </w:r>
      <w:r>
        <w:rPr>
          <w:rFonts w:ascii="仿宋_GB2312" w:hAnsi="Times New Roman" w:eastAsia="仿宋_GB2312" w:cs="Times New Roman"/>
          <w:snapToGrid w:val="0"/>
          <w:kern w:val="0"/>
          <w:sz w:val="30"/>
          <w:szCs w:val="30"/>
        </w:rPr>
        <w:t>大力</w:t>
      </w:r>
      <w:r>
        <w:rPr>
          <w:rFonts w:hint="eastAsia" w:ascii="仿宋_GB2312" w:hAnsi="Times New Roman" w:eastAsia="仿宋_GB2312" w:cs="Times New Roman"/>
          <w:snapToGrid w:val="0"/>
          <w:kern w:val="0"/>
          <w:sz w:val="30"/>
          <w:szCs w:val="30"/>
        </w:rPr>
        <w:t>弘扬</w:t>
      </w:r>
      <w:r>
        <w:rPr>
          <w:rFonts w:ascii="仿宋_GB2312" w:hAnsi="Times New Roman" w:eastAsia="仿宋_GB2312" w:cs="Times New Roman"/>
          <w:snapToGrid w:val="0"/>
          <w:kern w:val="0"/>
          <w:sz w:val="30"/>
          <w:szCs w:val="30"/>
        </w:rPr>
        <w:t>工匠精神、企业家精神、创新精神</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不断增强制造业软实力</w:t>
      </w:r>
      <w:r>
        <w:rPr>
          <w:rFonts w:hint="eastAsia" w:ascii="仿宋_GB2312" w:hAnsi="Times New Roman" w:eastAsia="仿宋_GB2312" w:cs="Times New Roman"/>
          <w:snapToGrid w:val="0"/>
          <w:kern w:val="0"/>
          <w:sz w:val="30"/>
          <w:szCs w:val="30"/>
        </w:rPr>
        <w:t>。</w:t>
      </w:r>
    </w:p>
    <w:p>
      <w:pPr>
        <w:pStyle w:val="4"/>
        <w:tabs>
          <w:tab w:val="left" w:pos="720"/>
        </w:tabs>
        <w:spacing w:before="120" w:after="120" w:line="240" w:lineRule="auto"/>
        <w:ind w:left="643"/>
        <w:rPr>
          <w:rFonts w:ascii="宋体" w:hAnsi="宋体" w:eastAsia="宋体" w:cs="Times New Roman"/>
          <w:color w:val="000000"/>
          <w:kern w:val="0"/>
          <w:lang w:val="zh-CN"/>
        </w:rPr>
      </w:pPr>
      <w:bookmarkStart w:id="14" w:name="_Toc507683702"/>
      <w:r>
        <w:rPr>
          <w:rFonts w:hint="eastAsia" w:ascii="宋体" w:hAnsi="宋体" w:eastAsia="宋体" w:cs="Times New Roman"/>
          <w:color w:val="000000"/>
          <w:kern w:val="0"/>
          <w:lang w:val="zh-CN"/>
        </w:rPr>
        <w:t>（四）劣势</w:t>
      </w:r>
      <w:bookmarkEnd w:id="14"/>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1.产业规模偏小。</w:t>
      </w:r>
      <w:r>
        <w:rPr>
          <w:rFonts w:hint="eastAsia" w:ascii="仿宋_GB2312" w:hAnsi="Times New Roman" w:eastAsia="仿宋_GB2312" w:cs="Times New Roman"/>
          <w:snapToGrid w:val="0"/>
          <w:kern w:val="0"/>
          <w:sz w:val="30"/>
          <w:szCs w:val="30"/>
        </w:rPr>
        <w:t>虽然近年来柳州市战略性新兴产业发展较快，但总体规模不大，</w:t>
      </w:r>
      <w:r>
        <w:rPr>
          <w:rFonts w:ascii="仿宋_GB2312" w:hAnsi="Times New Roman" w:eastAsia="仿宋_GB2312" w:cs="Times New Roman"/>
          <w:snapToGrid w:val="0"/>
          <w:kern w:val="0"/>
          <w:sz w:val="30"/>
          <w:szCs w:val="30"/>
        </w:rPr>
        <w:t>2016</w:t>
      </w:r>
      <w:r>
        <w:rPr>
          <w:rFonts w:hint="eastAsia" w:ascii="仿宋_GB2312" w:hAnsi="Times New Roman" w:eastAsia="仿宋_GB2312" w:cs="Times New Roman"/>
          <w:snapToGrid w:val="0"/>
          <w:kern w:val="0"/>
          <w:sz w:val="30"/>
          <w:szCs w:val="30"/>
        </w:rPr>
        <w:t>年战略性新兴产业占全市工业总产值的比重</w:t>
      </w:r>
      <w:r>
        <w:rPr>
          <w:rFonts w:ascii="仿宋_GB2312" w:hAnsi="Times New Roman" w:eastAsia="仿宋_GB2312" w:cs="Times New Roman"/>
          <w:snapToGrid w:val="0"/>
          <w:kern w:val="0"/>
          <w:sz w:val="30"/>
          <w:szCs w:val="30"/>
        </w:rPr>
        <w:t>11%</w:t>
      </w:r>
      <w:r>
        <w:rPr>
          <w:rFonts w:hint="eastAsia" w:ascii="仿宋_GB2312" w:hAnsi="Times New Roman" w:eastAsia="仿宋_GB2312" w:cs="Times New Roman"/>
          <w:snapToGrid w:val="0"/>
          <w:kern w:val="0"/>
          <w:sz w:val="30"/>
          <w:szCs w:val="30"/>
        </w:rPr>
        <w:t>，在</w:t>
      </w:r>
      <w:r>
        <w:rPr>
          <w:rFonts w:ascii="仿宋_GB2312" w:hAnsi="Times New Roman" w:eastAsia="仿宋_GB2312" w:cs="Times New Roman"/>
          <w:snapToGrid w:val="0"/>
          <w:kern w:val="0"/>
          <w:sz w:val="30"/>
          <w:szCs w:val="30"/>
        </w:rPr>
        <w:t>800</w:t>
      </w:r>
      <w:r>
        <w:rPr>
          <w:rFonts w:hint="eastAsia" w:ascii="仿宋_GB2312" w:hAnsi="Times New Roman" w:eastAsia="仿宋_GB2312" w:cs="Times New Roman"/>
          <w:snapToGrid w:val="0"/>
          <w:kern w:val="0"/>
          <w:sz w:val="30"/>
          <w:szCs w:val="30"/>
        </w:rPr>
        <w:t>多家规模以上工业企业中，新兴产业企业不到</w:t>
      </w:r>
      <w:r>
        <w:rPr>
          <w:rFonts w:ascii="仿宋_GB2312" w:hAnsi="Times New Roman" w:eastAsia="仿宋_GB2312" w:cs="Times New Roman"/>
          <w:snapToGrid w:val="0"/>
          <w:kern w:val="0"/>
          <w:sz w:val="30"/>
          <w:szCs w:val="30"/>
        </w:rPr>
        <w:t>100</w:t>
      </w:r>
      <w:r>
        <w:rPr>
          <w:rFonts w:hint="eastAsia" w:ascii="仿宋_GB2312" w:hAnsi="Times New Roman" w:eastAsia="仿宋_GB2312" w:cs="Times New Roman"/>
          <w:snapToGrid w:val="0"/>
          <w:kern w:val="0"/>
          <w:sz w:val="30"/>
          <w:szCs w:val="30"/>
        </w:rPr>
        <w:t>家</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缺乏龙头企业，没能形成集群发展，在工业经济中所占份额偏低，对结构优化、产业升级缺乏带动作用。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2.自主创新能力不足。</w:t>
      </w:r>
      <w:r>
        <w:rPr>
          <w:rFonts w:hint="eastAsia" w:ascii="仿宋_GB2312" w:hAnsi="Times New Roman" w:eastAsia="仿宋_GB2312" w:cs="Times New Roman"/>
          <w:snapToGrid w:val="0"/>
          <w:kern w:val="0"/>
          <w:sz w:val="30"/>
          <w:szCs w:val="30"/>
        </w:rPr>
        <w:t>由于新兴产业企业规模普遍偏小，许多企业研发投入不足，拥有自主知识产权的产品、技术不多，自主创新能力薄弱。企业在产品研发成功后，缺乏市场开拓能力，高新技术成果产业化进度较慢。产业链高端缺位，具有国际竞争优势的高技术行业较少。</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楷体" w:hAnsi="楷体" w:eastAsia="楷体" w:cs="Times New Roman"/>
          <w:b/>
          <w:bCs/>
          <w:snapToGrid w:val="0"/>
          <w:kern w:val="0"/>
          <w:sz w:val="30"/>
          <w:szCs w:val="30"/>
        </w:rPr>
        <w:t>3．企业融资融智较为困难。</w:t>
      </w:r>
      <w:r>
        <w:rPr>
          <w:rFonts w:hint="eastAsia" w:ascii="仿宋_GB2312" w:hAnsi="Times New Roman" w:eastAsia="仿宋_GB2312" w:cs="Times New Roman"/>
          <w:snapToGrid w:val="0"/>
          <w:kern w:val="0"/>
          <w:sz w:val="30"/>
          <w:szCs w:val="30"/>
        </w:rPr>
        <w:t>处于创建期和成长期的战略性新兴产业中小企业，固定资产不足，无法抵押或质押，很难获得银行等金融机构的支持，融资难的问题成为战略性新兴产业发展的重大瓶颈。柳州市产业工人资源丰富，但发展战略性新兴产业所急需的人才尤其是高级管理人才、高级技术开发人才及高级复合型人才仍很短缺。特别是中小型企业很难吸引、留住高端人才。</w:t>
      </w:r>
    </w:p>
    <w:p>
      <w:pPr>
        <w:spacing w:line="560" w:lineRule="exact"/>
        <w:ind w:firstLine="600" w:firstLineChars="200"/>
        <w:rPr>
          <w:rFonts w:ascii="仿宋_GB2312" w:hAnsi="Times New Roman" w:eastAsia="仿宋_GB2312" w:cs="Times New Roman"/>
          <w:snapToGrid w:val="0"/>
          <w:kern w:val="0"/>
          <w:sz w:val="30"/>
          <w:szCs w:val="30"/>
        </w:rPr>
      </w:pPr>
    </w:p>
    <w:p>
      <w:pPr>
        <w:pStyle w:val="2"/>
        <w:widowControl w:val="0"/>
        <w:adjustRightInd/>
        <w:snapToGrid/>
        <w:spacing w:before="240" w:after="240"/>
        <w:rPr>
          <w:rFonts w:ascii="华文中宋" w:hAnsi="华文中宋" w:eastAsia="华文中宋"/>
          <w:szCs w:val="36"/>
        </w:rPr>
      </w:pPr>
      <w:bookmarkStart w:id="15" w:name="_Toc507683703"/>
      <w:bookmarkStart w:id="16" w:name="_Toc499407406"/>
      <w:r>
        <w:rPr>
          <w:rFonts w:hint="eastAsia" w:ascii="华文中宋" w:hAnsi="华文中宋" w:eastAsia="华文中宋"/>
          <w:szCs w:val="36"/>
        </w:rPr>
        <w:t>第二章 指导思想、基本原则、主要目标</w:t>
      </w:r>
      <w:bookmarkEnd w:id="15"/>
      <w:bookmarkEnd w:id="16"/>
    </w:p>
    <w:p>
      <w:pPr>
        <w:pStyle w:val="3"/>
      </w:pPr>
      <w:bookmarkStart w:id="17" w:name="_Toc499407407"/>
      <w:bookmarkStart w:id="18" w:name="_Toc507683704"/>
      <w:r>
        <w:rPr>
          <w:rFonts w:hint="eastAsia"/>
        </w:rPr>
        <w:t>一、</w:t>
      </w:r>
      <w:bookmarkEnd w:id="17"/>
      <w:r>
        <w:rPr>
          <w:rFonts w:hint="eastAsia"/>
          <w:lang w:val="en-US"/>
        </w:rPr>
        <w:t>指导思想</w:t>
      </w:r>
      <w:bookmarkEnd w:id="1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全面贯彻党的十九大精神，以习近平新时代中国特色社会主义思想为指导，牢固树立创新、协调、绿色、开放、共享的发展理念，深入实施“实业兴市，开放强柳”战略，依托柳州产业基础，突出优势和特色，按照政府引导、创新引领、项目支撑、集聚发展原则，着力构建战略性新兴产业发展新体系，着力实施一批重大项目，着力建设一批示范基地，着力构建 “双核一环多点”产业空间布局，实施战略性新兴产业发展十大行动，推动战略性新兴产业智能化、高端化、规模化发展，不断提升产业核心竞争力，将战略性新兴产业培育成为先导性、支柱性产业，努力建设西南地区重要的战略性新兴产业基地。</w:t>
      </w:r>
    </w:p>
    <w:p>
      <w:pPr>
        <w:pStyle w:val="3"/>
      </w:pPr>
      <w:bookmarkStart w:id="19" w:name="_Toc507683705"/>
      <w:bookmarkStart w:id="20" w:name="_Toc499407408"/>
      <w:r>
        <w:rPr>
          <w:rFonts w:hint="eastAsia"/>
        </w:rPr>
        <w:t>二、基本原则</w:t>
      </w:r>
      <w:bookmarkEnd w:id="19"/>
      <w:bookmarkEnd w:id="20"/>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坚持市场导向和政府引导相结合。</w:t>
      </w:r>
      <w:r>
        <w:rPr>
          <w:rFonts w:hint="eastAsia" w:ascii="仿宋_GB2312" w:hAnsi="Times New Roman" w:eastAsia="仿宋_GB2312" w:cs="Times New Roman"/>
          <w:snapToGrid w:val="0"/>
          <w:kern w:val="0"/>
          <w:sz w:val="30"/>
          <w:szCs w:val="30"/>
        </w:rPr>
        <w:t>坚持市场的资源配置决定性作用和企业的市场主体作用，发挥政府战略引领作用，把政府和市场力量有机结合起来，加强规划指导，营造良好环境。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坚持重点突破和统筹推进相结合。</w:t>
      </w:r>
      <w:r>
        <w:rPr>
          <w:rFonts w:hint="eastAsia" w:ascii="仿宋_GB2312" w:hAnsi="Times New Roman" w:eastAsia="仿宋_GB2312" w:cs="Times New Roman"/>
          <w:snapToGrid w:val="0"/>
          <w:kern w:val="0"/>
          <w:sz w:val="30"/>
          <w:szCs w:val="30"/>
        </w:rPr>
        <w:t>选择重点发展领域，围绕关键环节，集中要素资源，实施重点突破战略。加强统筹规划，强化市区县联动，全面推进战略性新兴产业加快发展。 </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坚持自主创新和开放合作相结合。</w:t>
      </w:r>
      <w:r>
        <w:rPr>
          <w:rFonts w:hint="eastAsia" w:ascii="仿宋_GB2312" w:hAnsi="Times New Roman" w:eastAsia="仿宋_GB2312" w:cs="Times New Roman"/>
          <w:snapToGrid w:val="0"/>
          <w:kern w:val="0"/>
          <w:sz w:val="30"/>
          <w:szCs w:val="30"/>
        </w:rPr>
        <w:t>深化产学研合作，着力提高产业技术创新能力，引导产业链、价值链向高端延伸。加强国际国内全方位合作，引进人才、技术、资金和项目。</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坚持龙头带动和产业集聚相结合。</w:t>
      </w:r>
      <w:r>
        <w:rPr>
          <w:rFonts w:hint="eastAsia" w:ascii="仿宋_GB2312" w:hAnsi="Times New Roman" w:eastAsia="仿宋_GB2312" w:cs="Times New Roman"/>
          <w:snapToGrid w:val="0"/>
          <w:kern w:val="0"/>
          <w:sz w:val="30"/>
          <w:szCs w:val="30"/>
        </w:rPr>
        <w:t>加大引导扶持力度，着力培育一批具有带动作用的重点龙头企业。以产业示范基地为载体，加快发展一批产业链完善、辐射带动作用强的产业集群。</w:t>
      </w:r>
    </w:p>
    <w:p>
      <w:pPr>
        <w:pStyle w:val="3"/>
      </w:pPr>
      <w:bookmarkStart w:id="21" w:name="_Toc499407409"/>
      <w:bookmarkStart w:id="22" w:name="_Toc507683706"/>
      <w:r>
        <w:rPr>
          <w:rFonts w:hint="eastAsia"/>
        </w:rPr>
        <w:t>三、主要目标</w:t>
      </w:r>
      <w:bookmarkEnd w:id="21"/>
      <w:bookmarkEnd w:id="2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“十三五”，战略性新兴产业发展的主要目标：</w:t>
      </w:r>
    </w:p>
    <w:p>
      <w:pPr>
        <w:spacing w:line="560" w:lineRule="exact"/>
        <w:ind w:firstLine="602" w:firstLineChars="200"/>
        <w:rPr>
          <w:rFonts w:hint="eastAsia"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产业发展持续增长。</w:t>
      </w:r>
      <w:r>
        <w:rPr>
          <w:rFonts w:hint="eastAsia" w:ascii="仿宋_GB2312" w:hAnsi="Times New Roman" w:eastAsia="仿宋_GB2312" w:cs="Times New Roman"/>
          <w:snapToGrid w:val="0"/>
          <w:kern w:val="0"/>
          <w:sz w:val="30"/>
          <w:szCs w:val="30"/>
        </w:rPr>
        <w:t>2020年，确保战略性新兴产业产值占全市的比重达16%，力争达到20%以上，工业总产值突破1000亿元，成为工业转型升级的新生力量。</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产业结构不断优化。</w:t>
      </w:r>
      <w:r>
        <w:rPr>
          <w:rFonts w:hint="eastAsia" w:ascii="仿宋_GB2312" w:hAnsi="Times New Roman" w:eastAsia="仿宋_GB2312" w:cs="Times New Roman"/>
          <w:snapToGrid w:val="0"/>
          <w:kern w:val="0"/>
          <w:sz w:val="30"/>
          <w:szCs w:val="30"/>
        </w:rPr>
        <w:t>战略性新兴产业体系逐步成型，新产业培育取得明显成效，优势产业持续提升、不断向产业价值链高端延伸与拓展。</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创新能力明显提升。</w:t>
      </w:r>
      <w:r>
        <w:rPr>
          <w:rFonts w:hint="eastAsia" w:ascii="仿宋_GB2312" w:hAnsi="Times New Roman" w:eastAsia="仿宋_GB2312" w:cs="Times New Roman"/>
          <w:snapToGrid w:val="0"/>
          <w:kern w:val="0"/>
          <w:sz w:val="30"/>
          <w:szCs w:val="30"/>
        </w:rPr>
        <w:t>创建一批重点（工程）实验室、工程（技术）研究中心、企业技术中心，突破一批重点领域核心关键技术，创新发展能力全面提升。</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集聚发展持续增强。</w:t>
      </w:r>
      <w:r>
        <w:rPr>
          <w:rFonts w:hint="eastAsia" w:ascii="仿宋_GB2312" w:hAnsi="Times New Roman" w:eastAsia="仿宋_GB2312" w:cs="Times New Roman"/>
          <w:snapToGrid w:val="0"/>
          <w:kern w:val="0"/>
          <w:sz w:val="30"/>
          <w:szCs w:val="30"/>
        </w:rPr>
        <w:t>“双核一环多点”战略性新兴产业格局初步成型，力争建成 5个以上产业示范基地，加快产业集聚发展。</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bCs/>
          <w:snapToGrid w:val="0"/>
          <w:kern w:val="0"/>
          <w:sz w:val="30"/>
          <w:szCs w:val="30"/>
        </w:rPr>
        <w:t>——</w:t>
      </w:r>
      <w:r>
        <w:rPr>
          <w:rFonts w:hint="eastAsia" w:ascii="楷体" w:hAnsi="楷体" w:eastAsia="楷体" w:cs="Times New Roman"/>
          <w:b/>
          <w:bCs/>
          <w:snapToGrid w:val="0"/>
          <w:kern w:val="0"/>
          <w:sz w:val="30"/>
          <w:szCs w:val="30"/>
        </w:rPr>
        <w:t>骨干企业加快成长。</w:t>
      </w:r>
      <w:r>
        <w:rPr>
          <w:rFonts w:hint="eastAsia" w:ascii="仿宋_GB2312" w:hAnsi="Times New Roman" w:eastAsia="仿宋_GB2312" w:cs="Times New Roman"/>
          <w:snapToGrid w:val="0"/>
          <w:kern w:val="0"/>
          <w:sz w:val="30"/>
          <w:szCs w:val="30"/>
        </w:rPr>
        <w:t>培育形成一批重点骨干企业，力争7家以上战略性新兴产业企业主营业务收入分别突破 20亿元，成为带动战略性新兴产业发展的重要力量。</w:t>
      </w:r>
    </w:p>
    <w:p>
      <w:pPr>
        <w:widowControl/>
        <w:shd w:val="clear" w:color="auto" w:fill="FFFFFF"/>
        <w:spacing w:beforeLines="50" w:afterLines="50"/>
        <w:ind w:firstLine="600"/>
        <w:jc w:val="left"/>
        <w:rPr>
          <w:rFonts w:cs="宋体" w:eastAsiaTheme="minorHAnsi"/>
          <w:kern w:val="0"/>
          <w:sz w:val="30"/>
          <w:szCs w:val="30"/>
        </w:rPr>
      </w:pPr>
    </w:p>
    <w:p>
      <w:pPr>
        <w:widowControl/>
        <w:shd w:val="clear" w:color="auto" w:fill="FFFFFF"/>
        <w:spacing w:beforeLines="50" w:afterLines="50"/>
        <w:ind w:firstLine="600"/>
        <w:jc w:val="left"/>
        <w:rPr>
          <w:rFonts w:cs="宋体" w:eastAsiaTheme="minorHAnsi"/>
          <w:kern w:val="0"/>
          <w:sz w:val="30"/>
          <w:szCs w:val="30"/>
        </w:rPr>
      </w:pPr>
    </w:p>
    <w:p>
      <w:pPr>
        <w:widowControl/>
        <w:shd w:val="clear" w:color="auto" w:fill="FFFFFF"/>
        <w:spacing w:beforeLines="50" w:afterLines="50"/>
        <w:ind w:firstLine="600"/>
        <w:jc w:val="left"/>
        <w:rPr>
          <w:rFonts w:cs="宋体" w:eastAsiaTheme="minorHAnsi"/>
          <w:kern w:val="0"/>
          <w:sz w:val="30"/>
          <w:szCs w:val="30"/>
        </w:rPr>
      </w:pPr>
    </w:p>
    <w:p>
      <w:pPr>
        <w:pStyle w:val="2"/>
        <w:widowControl w:val="0"/>
        <w:adjustRightInd/>
        <w:snapToGrid/>
        <w:spacing w:before="240" w:after="240"/>
        <w:rPr>
          <w:rFonts w:ascii="华文中宋" w:hAnsi="华文中宋" w:eastAsia="华文中宋"/>
          <w:szCs w:val="36"/>
        </w:rPr>
      </w:pPr>
      <w:bookmarkStart w:id="23" w:name="_Toc499407413"/>
      <w:bookmarkStart w:id="24" w:name="_Toc507683707"/>
      <w:r>
        <w:rPr>
          <w:rFonts w:hint="eastAsia" w:ascii="华文中宋" w:hAnsi="华文中宋" w:eastAsia="华文中宋"/>
          <w:szCs w:val="36"/>
        </w:rPr>
        <w:t>第三章 重点产业</w:t>
      </w:r>
      <w:bookmarkEnd w:id="23"/>
      <w:r>
        <w:rPr>
          <w:rFonts w:hint="eastAsia" w:ascii="华文中宋" w:hAnsi="华文中宋" w:eastAsia="华文中宋"/>
          <w:szCs w:val="36"/>
        </w:rPr>
        <w:t>发展</w:t>
      </w:r>
      <w:bookmarkEnd w:id="2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按照“重大项目引领，产业集聚发展”原则，以技术和人才为支撑，着力完善产业链和产业集群，优先培育轨道交通、智能电网、装</w:t>
      </w:r>
      <w:r>
        <w:rPr>
          <w:rFonts w:hint="eastAsia" w:ascii="仿宋_GB2312" w:hAnsi="Times New Roman" w:eastAsia="仿宋_GB2312" w:cs="Times New Roman"/>
          <w:snapToGrid w:val="0"/>
          <w:color w:val="auto"/>
          <w:kern w:val="0"/>
          <w:sz w:val="30"/>
          <w:szCs w:val="30"/>
        </w:rPr>
        <w:t>配式建筑、工业大数据产业，提升壮</w:t>
      </w:r>
      <w:r>
        <w:rPr>
          <w:rFonts w:hint="eastAsia" w:ascii="仿宋_GB2312" w:hAnsi="Times New Roman" w:eastAsia="仿宋_GB2312" w:cs="Times New Roman"/>
          <w:snapToGrid w:val="0"/>
          <w:kern w:val="0"/>
          <w:sz w:val="30"/>
          <w:szCs w:val="30"/>
        </w:rPr>
        <w:t>大新能源汽车、高端装备制造、电子信息、新材料、节能环保、生物与制药产业，着力构建战略性新兴产业发展新格局。</w:t>
      </w:r>
    </w:p>
    <w:p>
      <w:pPr>
        <w:pStyle w:val="3"/>
        <w:ind w:firstLine="643"/>
        <w:rPr>
          <w:rFonts w:ascii="宋体" w:hAnsi="宋体" w:eastAsia="宋体"/>
          <w:b/>
        </w:rPr>
      </w:pPr>
      <w:bookmarkStart w:id="25" w:name="_Toc507683708"/>
      <w:r>
        <w:rPr>
          <w:rFonts w:hint="eastAsia" w:ascii="宋体" w:hAnsi="宋体" w:eastAsia="宋体"/>
          <w:b/>
        </w:rPr>
        <w:t>一、优先培育四大新产业</w:t>
      </w:r>
      <w:bookmarkEnd w:id="25"/>
    </w:p>
    <w:p>
      <w:pPr>
        <w:pStyle w:val="4"/>
        <w:tabs>
          <w:tab w:val="left" w:pos="720"/>
        </w:tabs>
        <w:spacing w:before="120" w:after="120" w:line="240" w:lineRule="auto"/>
        <w:ind w:left="643"/>
        <w:rPr>
          <w:rFonts w:ascii="宋体" w:hAnsi="宋体" w:eastAsia="宋体" w:cs="Times New Roman"/>
          <w:color w:val="000000"/>
          <w:kern w:val="0"/>
          <w:lang w:val="zh-CN"/>
        </w:rPr>
      </w:pPr>
      <w:bookmarkStart w:id="26" w:name="_Toc507683709"/>
      <w:r>
        <w:rPr>
          <w:rFonts w:hint="eastAsia" w:ascii="宋体" w:hAnsi="宋体" w:eastAsia="宋体" w:cs="Times New Roman"/>
          <w:color w:val="000000"/>
          <w:kern w:val="0"/>
          <w:lang w:val="zh-CN"/>
        </w:rPr>
        <w:t>（一）轨道交通产业</w:t>
      </w:r>
      <w:bookmarkEnd w:id="2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把握柳州轨道交通项目建设机遇，坚持整车装备与关键核心零部件协同发展，引进和发展本地配套企业相结合，以轨道交通车辆及零部件制造为核心，加速轨道交通高端产业集聚。2020年，力争实现轨道交通产业产值50亿元以上。</w:t>
      </w:r>
    </w:p>
    <w:p>
      <w:pPr>
        <w:spacing w:line="560" w:lineRule="exact"/>
        <w:ind w:firstLine="602" w:firstLineChars="200"/>
        <w:rPr>
          <w:rFonts w:ascii="仿宋_GB2312" w:hAnsi="Times New Roman" w:eastAsia="仿宋_GB2312" w:cs="Times New Roman"/>
          <w:snapToGrid w:val="0"/>
          <w:kern w:val="0"/>
          <w:sz w:val="30"/>
          <w:szCs w:val="30"/>
        </w:rPr>
      </w:pPr>
      <w:bookmarkStart w:id="27" w:name="_Toc499407414"/>
      <w:r>
        <w:rPr>
          <w:rFonts w:hint="eastAsia" w:ascii="仿宋_GB2312" w:hAnsi="Times New Roman" w:eastAsia="仿宋_GB2312" w:cs="Times New Roman"/>
          <w:b/>
          <w:snapToGrid w:val="0"/>
          <w:kern w:val="0"/>
          <w:sz w:val="30"/>
          <w:szCs w:val="30"/>
        </w:rPr>
        <w:t>——轨道车辆。</w:t>
      </w:r>
      <w:r>
        <w:rPr>
          <w:rFonts w:hint="eastAsia" w:ascii="仿宋_GB2312" w:hAnsi="Times New Roman" w:eastAsia="仿宋_GB2312" w:cs="Times New Roman"/>
          <w:snapToGrid w:val="0"/>
          <w:kern w:val="0"/>
          <w:sz w:val="30"/>
          <w:szCs w:val="30"/>
        </w:rPr>
        <w:t>重点发展低地板面，曲线通过能力强，采用单轴转向架，永磁同步电机驱动，配备无人驾驶系统的单轨跨座式车辆。积极发展智轨ART车辆产品。积累一定车辆制造技术、生产经验后，根据市场需求情况，适时向APM、城际列车、轻轨、有轨电车、地铁车辆延伸，形成轨道交通车辆系列产品制造能力。</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——车辆零部件。</w:t>
      </w:r>
      <w:r>
        <w:rPr>
          <w:rFonts w:hint="eastAsia" w:ascii="仿宋_GB2312" w:hAnsi="Times New Roman" w:eastAsia="仿宋_GB2312" w:cs="Times New Roman"/>
          <w:snapToGrid w:val="0"/>
          <w:kern w:val="0"/>
          <w:sz w:val="30"/>
          <w:szCs w:val="30"/>
        </w:rPr>
        <w:t>重点发展车体、转向架、牵引变电器、牵引和辅助变流器、牵引电机、牵引控制系统、制动系统、列车网络控制系统等8大系统，以及受电弓、车门、空调、车钩、车内电器、车辆内饰、车窗、座椅、风挡等9大配套零部件。加快开发车轮、车轴、制动盘片、减振降噪高性能复合材料车体及转向架等轨道交通关键部件基础材料和工艺技术，建设轨道交通车辆零部件制造体系。</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——轨道线路机电设备。</w:t>
      </w:r>
      <w:r>
        <w:rPr>
          <w:rFonts w:hint="eastAsia" w:ascii="仿宋_GB2312" w:hAnsi="Times New Roman" w:eastAsia="仿宋_GB2312" w:cs="Times New Roman"/>
          <w:snapToGrid w:val="0"/>
          <w:kern w:val="0"/>
          <w:sz w:val="30"/>
          <w:szCs w:val="30"/>
        </w:rPr>
        <w:t>重点发展牵引供电系统、信号系统、通信系统、信息化系统和综合监控系统等轨道线路机电系统设备。积极发展轨道交通线路控制、管理智能化设备，推进轨道交通机电设备的产业化和系统化。</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——轨道梁、道岔。</w:t>
      </w:r>
      <w:r>
        <w:rPr>
          <w:rFonts w:hint="eastAsia" w:ascii="仿宋_GB2312" w:hAnsi="Times New Roman" w:eastAsia="仿宋_GB2312" w:cs="Times New Roman"/>
          <w:snapToGrid w:val="0"/>
          <w:kern w:val="0"/>
          <w:sz w:val="30"/>
          <w:szCs w:val="30"/>
        </w:rPr>
        <w:t>重点发展结构轻盈、体量较小的连续刚构型式预制PC轨道梁。积极发展结构简单、占地节省的高速梁替换型道岔、弯型道岔。</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6"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1  轨道交通产业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jc w:val="left"/>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引进跨座式单轨</w:t>
            </w:r>
            <w:r>
              <w:rPr>
                <w:rFonts w:ascii="宋体" w:hAnsi="宋体" w:eastAsia="宋体" w:cs="Times New Roman"/>
                <w:snapToGrid w:val="0"/>
                <w:kern w:val="0"/>
                <w:sz w:val="24"/>
                <w:szCs w:val="24"/>
              </w:rPr>
              <w:t>车辆</w:t>
            </w:r>
            <w:r>
              <w:rPr>
                <w:rFonts w:hint="eastAsia" w:ascii="宋体" w:hAnsi="宋体" w:eastAsia="宋体" w:cs="Times New Roman"/>
                <w:snapToGrid w:val="0"/>
                <w:kern w:val="0"/>
                <w:sz w:val="24"/>
                <w:szCs w:val="24"/>
              </w:rPr>
              <w:t>制造核心关键技术，</w:t>
            </w:r>
            <w:r>
              <w:rPr>
                <w:rFonts w:ascii="宋体" w:hAnsi="宋体" w:eastAsia="宋体" w:cs="Times New Roman"/>
                <w:snapToGrid w:val="0"/>
                <w:kern w:val="0"/>
                <w:sz w:val="24"/>
                <w:szCs w:val="24"/>
              </w:rPr>
              <w:t>持续优化具有自主知识产权</w:t>
            </w:r>
            <w:r>
              <w:rPr>
                <w:rFonts w:hint="eastAsia" w:ascii="宋体" w:hAnsi="宋体" w:eastAsia="宋体" w:cs="Times New Roman"/>
                <w:snapToGrid w:val="0"/>
                <w:kern w:val="0"/>
                <w:sz w:val="24"/>
                <w:szCs w:val="24"/>
              </w:rPr>
              <w:t>的跨座式单轨</w:t>
            </w:r>
            <w:r>
              <w:rPr>
                <w:rFonts w:ascii="宋体" w:hAnsi="宋体" w:eastAsia="宋体" w:cs="Times New Roman"/>
                <w:snapToGrid w:val="0"/>
                <w:kern w:val="0"/>
                <w:sz w:val="24"/>
                <w:szCs w:val="24"/>
              </w:rPr>
              <w:t>车辆平台</w:t>
            </w:r>
            <w:r>
              <w:rPr>
                <w:rFonts w:hint="eastAsia" w:ascii="宋体" w:hAnsi="宋体" w:eastAsia="宋体" w:cs="Times New Roman"/>
                <w:snapToGrid w:val="0"/>
                <w:kern w:val="0"/>
                <w:sz w:val="24"/>
                <w:szCs w:val="24"/>
              </w:rPr>
              <w:t>。研发转向架、电力牵引、制动系统、</w:t>
            </w:r>
            <w:r>
              <w:rPr>
                <w:rFonts w:ascii="宋体" w:hAnsi="宋体" w:eastAsia="宋体" w:cs="Times New Roman"/>
                <w:snapToGrid w:val="0"/>
                <w:kern w:val="0"/>
                <w:sz w:val="24"/>
                <w:szCs w:val="24"/>
              </w:rPr>
              <w:t>控制</w:t>
            </w:r>
            <w:r>
              <w:rPr>
                <w:rFonts w:hint="eastAsia" w:ascii="宋体" w:hAnsi="宋体" w:eastAsia="宋体" w:cs="Times New Roman"/>
                <w:snapToGrid w:val="0"/>
                <w:kern w:val="0"/>
                <w:sz w:val="24"/>
                <w:szCs w:val="24"/>
              </w:rPr>
              <w:t>系统、</w:t>
            </w:r>
            <w:r>
              <w:rPr>
                <w:rFonts w:ascii="宋体" w:hAnsi="宋体" w:eastAsia="宋体" w:cs="Times New Roman"/>
                <w:snapToGrid w:val="0"/>
                <w:kern w:val="0"/>
                <w:sz w:val="24"/>
                <w:szCs w:val="24"/>
              </w:rPr>
              <w:t>车体</w:t>
            </w:r>
            <w:r>
              <w:rPr>
                <w:rFonts w:hint="eastAsia" w:ascii="宋体" w:hAnsi="宋体" w:eastAsia="宋体" w:cs="Times New Roman"/>
                <w:snapToGrid w:val="0"/>
                <w:kern w:val="0"/>
                <w:sz w:val="24"/>
                <w:szCs w:val="24"/>
              </w:rPr>
              <w:t>等关键零部件核心技术。</w:t>
            </w:r>
          </w:p>
          <w:p>
            <w:pPr>
              <w:spacing w:line="500" w:lineRule="exact"/>
              <w:ind w:firstLine="482" w:firstLineChars="200"/>
              <w:jc w:val="left"/>
              <w:rPr>
                <w:rFonts w:eastAsiaTheme="minorHAnsi"/>
                <w:color w:val="000000" w:themeColor="text1"/>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轨道交通车辆造修基地项目、轨道交通通信系统项目、轨道交通供电系统项目、轨道交通道岔生产项目、轨道交通牵引系统项目、轨道梁厂生产项目、A</w:t>
            </w:r>
            <w:r>
              <w:rPr>
                <w:rFonts w:ascii="宋体" w:hAnsi="宋体" w:eastAsia="宋体" w:cs="Times New Roman"/>
                <w:snapToGrid w:val="0"/>
                <w:kern w:val="0"/>
                <w:sz w:val="24"/>
                <w:szCs w:val="24"/>
              </w:rPr>
              <w:t>FC自动售票检票系统</w:t>
            </w:r>
            <w:r>
              <w:rPr>
                <w:rFonts w:hint="eastAsia" w:ascii="宋体" w:hAnsi="宋体" w:eastAsia="宋体" w:cs="Times New Roman"/>
                <w:snapToGrid w:val="0"/>
                <w:kern w:val="0"/>
                <w:sz w:val="24"/>
                <w:szCs w:val="24"/>
              </w:rPr>
              <w:t>项目等。</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28" w:name="_Toc507683710"/>
      <w:r>
        <w:rPr>
          <w:rFonts w:hint="eastAsia" w:ascii="宋体" w:hAnsi="宋体" w:eastAsia="宋体" w:cs="Times New Roman"/>
          <w:color w:val="000000"/>
          <w:kern w:val="0"/>
          <w:lang w:val="zh-CN"/>
        </w:rPr>
        <w:t>（二）智能电网产业</w:t>
      </w:r>
      <w:bookmarkEnd w:id="2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以建设广西（柳州）智能制造城为契机，加快发展发电、输电、变电、配电、用电、调度等全领域关键设备和软件研发制造，积极推进强弱电技术融合的特色产业及平台建设，形成智能电网研发制造全产业链。2020年，力争实现智能电网产业产值60亿元以上。</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——输变电设备。</w:t>
      </w:r>
      <w:r>
        <w:rPr>
          <w:rFonts w:hint="eastAsia" w:ascii="仿宋_GB2312" w:hAnsi="Times New Roman" w:eastAsia="仿宋_GB2312" w:cs="Times New Roman"/>
          <w:snapToGrid w:val="0"/>
          <w:kern w:val="0"/>
          <w:sz w:val="30"/>
          <w:szCs w:val="30"/>
        </w:rPr>
        <w:t>重点发展柔性交直流输电设备和智能化变电站设备。加快智能电网三大核心部件断路器、隔离开关和封闭式组合电器研发制造，突破核心技术，培育自主品牌，形成产业规模。积极发展继电保护和变电站计算机监控系统设备，主要发展线路保护、变压器保护、并联电抗器保护、母线保护、断路器保护、电容器保护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——配电自动化设备。</w:t>
      </w:r>
      <w:r>
        <w:rPr>
          <w:rFonts w:hint="eastAsia" w:ascii="仿宋_GB2312" w:hAnsi="Times New Roman" w:eastAsia="仿宋_GB2312" w:cs="Times New Roman"/>
          <w:snapToGrid w:val="0"/>
          <w:kern w:val="0"/>
          <w:sz w:val="30"/>
          <w:szCs w:val="30"/>
        </w:rPr>
        <w:t>重点发展配电主站、电动汽车变电站、大规模储能、配电终端、配电子站和配电通信网路设备。积极发展柱上开关、开闭所、环网柜、箱式变压器和配电变压器等配电自动化设备。</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——智能电表。</w:t>
      </w:r>
      <w:r>
        <w:rPr>
          <w:rFonts w:hint="eastAsia" w:ascii="仿宋_GB2312" w:hAnsi="Times New Roman" w:eastAsia="仿宋_GB2312" w:cs="Times New Roman"/>
          <w:snapToGrid w:val="0"/>
          <w:kern w:val="0"/>
          <w:sz w:val="30"/>
          <w:szCs w:val="30"/>
        </w:rPr>
        <w:t>重点发展IC卡电表和智能电度表，加快研发兼具双向多种费率计量功能、用户端控制功能、多种数据传输模式双向数据通信功能、防窃电功能等智能化功能电表。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——电网监控设备。</w:t>
      </w:r>
      <w:r>
        <w:rPr>
          <w:rFonts w:hint="eastAsia" w:ascii="仿宋_GB2312" w:hAnsi="Times New Roman" w:eastAsia="仿宋_GB2312" w:cs="Times New Roman"/>
          <w:snapToGrid w:val="0"/>
          <w:kern w:val="0"/>
          <w:sz w:val="30"/>
          <w:szCs w:val="30"/>
        </w:rPr>
        <w:t>重点发展智能巡检、在线监测、保护、智能调度、安全稳定控制系统等电网监控智能设备。</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2" w:hRule="atLeast"/>
        </w:trPr>
        <w:tc>
          <w:tcPr>
            <w:tcW w:w="8698" w:type="dxa"/>
            <w:tcBorders>
              <w:top w:val="single" w:color="auto" w:sz="4" w:space="0"/>
              <w:left w:val="single" w:color="auto" w:sz="4" w:space="0"/>
              <w:bottom w:val="single" w:color="auto" w:sz="4" w:space="0"/>
              <w:right w:val="single" w:color="auto" w:sz="4" w:space="0"/>
            </w:tcBorders>
          </w:tcPr>
          <w:p>
            <w:pPr>
              <w:tabs>
                <w:tab w:val="left" w:pos="2115"/>
                <w:tab w:val="center" w:pos="4542"/>
              </w:tabs>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2  智能电网产业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ascii="宋体" w:hAnsi="宋体" w:eastAsia="宋体" w:cs="Times New Roman"/>
                <w:snapToGrid w:val="0"/>
                <w:kern w:val="0"/>
                <w:sz w:val="24"/>
                <w:szCs w:val="24"/>
              </w:rPr>
              <w:t>微电网</w:t>
            </w:r>
            <w:r>
              <w:rPr>
                <w:rFonts w:hint="eastAsia" w:ascii="宋体" w:hAnsi="宋体" w:eastAsia="宋体" w:cs="Times New Roman"/>
                <w:snapToGrid w:val="0"/>
                <w:kern w:val="0"/>
                <w:sz w:val="24"/>
                <w:szCs w:val="24"/>
              </w:rPr>
              <w:t>技术</w:t>
            </w:r>
            <w:r>
              <w:rPr>
                <w:rFonts w:ascii="宋体" w:hAnsi="宋体" w:eastAsia="宋体" w:cs="Times New Roman"/>
                <w:snapToGrid w:val="0"/>
                <w:kern w:val="0"/>
                <w:sz w:val="24"/>
                <w:szCs w:val="24"/>
              </w:rPr>
              <w:t>、</w:t>
            </w:r>
            <w:r>
              <w:rPr>
                <w:rFonts w:hint="eastAsia" w:ascii="宋体" w:hAnsi="宋体" w:eastAsia="宋体" w:cs="Times New Roman"/>
                <w:snapToGrid w:val="0"/>
                <w:kern w:val="0"/>
                <w:sz w:val="24"/>
                <w:szCs w:val="24"/>
              </w:rPr>
              <w:t>输变电</w:t>
            </w:r>
            <w:r>
              <w:rPr>
                <w:rFonts w:ascii="宋体" w:hAnsi="宋体" w:eastAsia="宋体" w:cs="Times New Roman"/>
                <w:snapToGrid w:val="0"/>
                <w:kern w:val="0"/>
                <w:sz w:val="24"/>
                <w:szCs w:val="24"/>
              </w:rPr>
              <w:t>自动化</w:t>
            </w:r>
            <w:r>
              <w:rPr>
                <w:rFonts w:hint="eastAsia" w:ascii="宋体" w:hAnsi="宋体" w:eastAsia="宋体" w:cs="Times New Roman"/>
                <w:snapToGrid w:val="0"/>
                <w:kern w:val="0"/>
                <w:sz w:val="24"/>
                <w:szCs w:val="24"/>
              </w:rPr>
              <w:t>技术、</w:t>
            </w:r>
            <w:r>
              <w:rPr>
                <w:rFonts w:ascii="宋体" w:hAnsi="宋体" w:eastAsia="宋体" w:cs="Times New Roman"/>
                <w:snapToGrid w:val="0"/>
                <w:kern w:val="0"/>
                <w:sz w:val="24"/>
                <w:szCs w:val="24"/>
              </w:rPr>
              <w:t>配网自动化</w:t>
            </w:r>
            <w:r>
              <w:rPr>
                <w:rFonts w:hint="eastAsia" w:ascii="宋体" w:hAnsi="宋体" w:eastAsia="宋体" w:cs="Times New Roman"/>
                <w:snapToGrid w:val="0"/>
                <w:kern w:val="0"/>
                <w:sz w:val="24"/>
                <w:szCs w:val="24"/>
              </w:rPr>
              <w:t>技术</w:t>
            </w:r>
            <w:r>
              <w:rPr>
                <w:rFonts w:ascii="宋体" w:hAnsi="宋体" w:eastAsia="宋体" w:cs="Times New Roman"/>
                <w:snapToGrid w:val="0"/>
                <w:kern w:val="0"/>
                <w:sz w:val="24"/>
                <w:szCs w:val="24"/>
              </w:rPr>
              <w:t>、智能电工</w:t>
            </w:r>
            <w:r>
              <w:rPr>
                <w:rFonts w:hint="eastAsia" w:ascii="宋体" w:hAnsi="宋体" w:eastAsia="宋体" w:cs="Times New Roman"/>
                <w:snapToGrid w:val="0"/>
                <w:kern w:val="0"/>
                <w:sz w:val="24"/>
                <w:szCs w:val="24"/>
              </w:rPr>
              <w:t>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智能用电设备产业化项目、智能输变电设备产业化项目、输配电及控制设备制造项目、智能电网协调控制系统项目等。</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29" w:name="_Toc507683711"/>
      <w:r>
        <w:rPr>
          <w:rFonts w:hint="eastAsia" w:ascii="宋体" w:hAnsi="宋体" w:eastAsia="宋体" w:cs="Times New Roman"/>
          <w:color w:val="000000"/>
          <w:kern w:val="0"/>
          <w:lang w:val="zh-CN"/>
        </w:rPr>
        <w:t>（三）装配式建筑产业</w:t>
      </w:r>
      <w:bookmarkEnd w:id="2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紧抓柳州列入自治区级建筑产业现代化综合试点城市的契机，大力推进钢结构、预制混凝土结构和装配式现代木结构部品部件、装配施工、装饰装修等装配式建筑产业集群化发展。2020年，力争实现装配式建筑产业产值60亿元以上。</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——钢结构部件。</w:t>
      </w:r>
      <w:r>
        <w:rPr>
          <w:rFonts w:hint="eastAsia" w:ascii="仿宋_GB2312" w:hAnsi="Times New Roman" w:eastAsia="仿宋_GB2312" w:cs="Times New Roman"/>
          <w:snapToGrid w:val="0"/>
          <w:kern w:val="0"/>
          <w:sz w:val="30"/>
          <w:szCs w:val="30"/>
        </w:rPr>
        <w:t>重点发展</w:t>
      </w:r>
      <w:r>
        <w:fldChar w:fldCharType="begin"/>
      </w:r>
      <w:r>
        <w:instrText xml:space="preserve"> HYPERLINK "http://baike.sogou.com/lemma/ShowInnerLink.htm?lemmaId=4821523&amp;ss_c=ssc.citiao.link" \t "http://baike.sogou.com/_blank" </w:instrText>
      </w:r>
      <w:r>
        <w:fldChar w:fldCharType="separate"/>
      </w:r>
      <w:r>
        <w:rPr>
          <w:rFonts w:hint="eastAsia" w:ascii="仿宋_GB2312" w:hAnsi="Times New Roman" w:eastAsia="仿宋_GB2312" w:cs="Times New Roman"/>
          <w:snapToGrid w:val="0"/>
          <w:kern w:val="0"/>
          <w:sz w:val="30"/>
          <w:szCs w:val="30"/>
        </w:rPr>
        <w:t>H型钢</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门形钢架支承，积极发展C型、Z型</w:t>
      </w:r>
      <w:r>
        <w:fldChar w:fldCharType="begin"/>
      </w:r>
      <w:r>
        <w:instrText xml:space="preserve"> HYPERLINK "http://baike.sogou.com/lemma/ShowInnerLink.htm?lemmaId=75897890&amp;ss_c=ssc.citiao.link" \t "http://baike.sogou.com/_blank" </w:instrText>
      </w:r>
      <w:r>
        <w:fldChar w:fldCharType="separate"/>
      </w:r>
      <w:r>
        <w:rPr>
          <w:rFonts w:hint="eastAsia" w:ascii="仿宋_GB2312" w:hAnsi="Times New Roman" w:eastAsia="仿宋_GB2312" w:cs="Times New Roman"/>
          <w:snapToGrid w:val="0"/>
          <w:kern w:val="0"/>
          <w:sz w:val="30"/>
          <w:szCs w:val="30"/>
        </w:rPr>
        <w:t>冷弯薄壁型钢</w:t>
      </w:r>
      <w:r>
        <w:rPr>
          <w:rFonts w:hint="eastAsia" w:ascii="仿宋_GB2312" w:hAnsi="Times New Roman" w:eastAsia="仿宋_GB2312" w:cs="Times New Roman"/>
          <w:snapToGrid w:val="0"/>
          <w:kern w:val="0"/>
          <w:sz w:val="30"/>
          <w:szCs w:val="30"/>
        </w:rPr>
        <w:fldChar w:fldCharType="end"/>
      </w:r>
      <w:r>
        <w:fldChar w:fldCharType="begin"/>
      </w:r>
      <w:r>
        <w:instrText xml:space="preserve"> HYPERLINK "http://baike.sogou.com/lemma/ShowInnerLink.htm?lemmaId=1998248&amp;ss_c=ssc.citiao.link" \t "http://baike.sogou.com/_blank" </w:instrText>
      </w:r>
      <w:r>
        <w:fldChar w:fldCharType="separate"/>
      </w:r>
      <w:r>
        <w:rPr>
          <w:rFonts w:hint="eastAsia" w:ascii="仿宋_GB2312" w:hAnsi="Times New Roman" w:eastAsia="仿宋_GB2312" w:cs="Times New Roman"/>
          <w:snapToGrid w:val="0"/>
          <w:kern w:val="0"/>
          <w:sz w:val="30"/>
          <w:szCs w:val="30"/>
        </w:rPr>
        <w:t>檩条</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w:t>
      </w:r>
      <w:r>
        <w:fldChar w:fldCharType="begin"/>
      </w:r>
      <w:r>
        <w:instrText xml:space="preserve"> HYPERLINK "http://baike.sogou.com/lemma/ShowInnerLink.htm?lemmaId=6189572&amp;ss_c=ssc.citiao.link" \t "http://baike.sogou.com/_blank" </w:instrText>
      </w:r>
      <w:r>
        <w:fldChar w:fldCharType="separate"/>
      </w:r>
      <w:r>
        <w:rPr>
          <w:rFonts w:hint="eastAsia" w:ascii="仿宋_GB2312" w:hAnsi="Times New Roman" w:eastAsia="仿宋_GB2312" w:cs="Times New Roman"/>
          <w:snapToGrid w:val="0"/>
          <w:kern w:val="0"/>
          <w:sz w:val="30"/>
          <w:szCs w:val="30"/>
        </w:rPr>
        <w:t>墙梁</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，加快发展</w:t>
      </w:r>
      <w:r>
        <w:fldChar w:fldCharType="begin"/>
      </w:r>
      <w:r>
        <w:instrText xml:space="preserve"> HYPERLINK "http://baike.sogou.com/lemma/ShowInnerLink.htm?lemmaId=73029588&amp;ss_c=ssc.citiao.link" \t "http://baike.sogou.com/_blank" </w:instrText>
      </w:r>
      <w:r>
        <w:fldChar w:fldCharType="separate"/>
      </w:r>
      <w:r>
        <w:rPr>
          <w:rFonts w:hint="eastAsia" w:ascii="仿宋_GB2312" w:hAnsi="Times New Roman" w:eastAsia="仿宋_GB2312" w:cs="Times New Roman"/>
          <w:snapToGrid w:val="0"/>
          <w:kern w:val="0"/>
          <w:sz w:val="30"/>
          <w:szCs w:val="30"/>
        </w:rPr>
        <w:t>压型钢板</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或轻质</w:t>
      </w:r>
      <w:r>
        <w:fldChar w:fldCharType="begin"/>
      </w:r>
      <w:r>
        <w:instrText xml:space="preserve"> HYPERLINK "http://baike.sogou.com/lemma/ShowInnerLink.htm?lemmaId=7637270&amp;ss_c=ssc.citiao.link" \t "http://baike.sogou.com/_blank" </w:instrText>
      </w:r>
      <w:r>
        <w:fldChar w:fldCharType="separate"/>
      </w:r>
      <w:r>
        <w:rPr>
          <w:rFonts w:hint="eastAsia" w:ascii="仿宋_GB2312" w:hAnsi="Times New Roman" w:eastAsia="仿宋_GB2312" w:cs="Times New Roman"/>
          <w:snapToGrid w:val="0"/>
          <w:kern w:val="0"/>
          <w:sz w:val="30"/>
          <w:szCs w:val="30"/>
        </w:rPr>
        <w:t>夹芯板</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屋面、墙面</w:t>
      </w:r>
      <w:r>
        <w:fldChar w:fldCharType="begin"/>
      </w:r>
      <w:r>
        <w:instrText xml:space="preserve"> HYPERLINK "http://baike.sogou.com/lemma/ShowInnerLink.htm?lemmaId=185538&amp;ss_c=ssc.citiao.link" \t "http://baike.sogou.com/_blank" </w:instrText>
      </w:r>
      <w:r>
        <w:fldChar w:fldCharType="separate"/>
      </w:r>
      <w:r>
        <w:rPr>
          <w:rFonts w:hint="eastAsia" w:ascii="仿宋_GB2312" w:hAnsi="Times New Roman" w:eastAsia="仿宋_GB2312" w:cs="Times New Roman"/>
          <w:snapToGrid w:val="0"/>
          <w:kern w:val="0"/>
          <w:sz w:val="30"/>
          <w:szCs w:val="30"/>
        </w:rPr>
        <w:t>围护结构</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，大力发展</w:t>
      </w:r>
      <w:r>
        <w:fldChar w:fldCharType="begin"/>
      </w:r>
      <w:r>
        <w:instrText xml:space="preserve"> HYPERLINK "http://baike.sogou.com/lemma/ShowInnerLink.htm?lemmaId=60905688&amp;ss_c=ssc.citiao.link" \t "http://baike.sogou.com/_blank" </w:instrText>
      </w:r>
      <w:r>
        <w:fldChar w:fldCharType="separate"/>
      </w:r>
      <w:r>
        <w:rPr>
          <w:rFonts w:hint="eastAsia" w:ascii="仿宋_GB2312" w:hAnsi="Times New Roman" w:eastAsia="仿宋_GB2312" w:cs="Times New Roman"/>
          <w:snapToGrid w:val="0"/>
          <w:kern w:val="0"/>
          <w:sz w:val="30"/>
          <w:szCs w:val="30"/>
        </w:rPr>
        <w:t>高强螺栓</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w:t>
      </w:r>
      <w:r>
        <w:fldChar w:fldCharType="begin"/>
      </w:r>
      <w:r>
        <w:instrText xml:space="preserve"> HYPERLINK "http://baike.sogou.com/lemma/ShowInnerLink.htm?lemmaId=7762555&amp;ss_c=ssc.citiao.link" \t "http://baike.sogou.com/_blank" </w:instrText>
      </w:r>
      <w:r>
        <w:fldChar w:fldCharType="separate"/>
      </w:r>
      <w:r>
        <w:rPr>
          <w:rFonts w:hint="eastAsia" w:ascii="仿宋_GB2312" w:hAnsi="Times New Roman" w:eastAsia="仿宋_GB2312" w:cs="Times New Roman"/>
          <w:snapToGrid w:val="0"/>
          <w:kern w:val="0"/>
          <w:sz w:val="30"/>
          <w:szCs w:val="30"/>
        </w:rPr>
        <w:t>自攻螺丝</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 xml:space="preserve">等连接件。 </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——预制混凝土结构部件。</w:t>
      </w:r>
      <w:r>
        <w:rPr>
          <w:rFonts w:hint="eastAsia" w:ascii="仿宋_GB2312" w:hAnsi="Times New Roman" w:eastAsia="仿宋_GB2312" w:cs="Times New Roman"/>
          <w:snapToGrid w:val="0"/>
          <w:kern w:val="0"/>
          <w:sz w:val="30"/>
          <w:szCs w:val="30"/>
        </w:rPr>
        <w:t>重点发展预制混凝土叠合楼板、空心楼板、实心楼板、叠合双面墙、剪力墙、夹心三明治墙、柱子、梁、阳台、楼梯等建筑结构部件。积极推进建筑部品工业化，门窗、厨卫等部品采用模块化设计、工厂化制作及现场化装配，实现门窗、厨卫部品一体化装修。</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——木结构部件。</w:t>
      </w:r>
      <w:r>
        <w:rPr>
          <w:rFonts w:hint="eastAsia" w:ascii="仿宋_GB2312" w:hAnsi="Times New Roman" w:eastAsia="仿宋_GB2312" w:cs="Times New Roman"/>
          <w:snapToGrid w:val="0"/>
          <w:kern w:val="0"/>
          <w:sz w:val="30"/>
          <w:szCs w:val="30"/>
        </w:rPr>
        <w:t>重点发展木结构主梁、横梁、过梁、立柱、门/窗，积极发展刨花板墙壁及屋顶、工字梁等构件。</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7"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3  装配式建筑产业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jc w:val="left"/>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先进建筑工业化PC技术、抛光混凝土技术、</w:t>
            </w:r>
            <w:r>
              <w:rPr>
                <w:rFonts w:ascii="宋体" w:hAnsi="宋体" w:eastAsia="宋体" w:cs="Times New Roman"/>
                <w:snapToGrid w:val="0"/>
                <w:kern w:val="0"/>
                <w:sz w:val="24"/>
                <w:szCs w:val="24"/>
              </w:rPr>
              <w:t>产品和设备管线集成化技术</w:t>
            </w:r>
            <w:r>
              <w:rPr>
                <w:rFonts w:hint="eastAsia" w:ascii="宋体" w:hAnsi="宋体" w:eastAsia="宋体" w:cs="Times New Roman"/>
                <w:snapToGrid w:val="0"/>
                <w:kern w:val="0"/>
                <w:sz w:val="24"/>
                <w:szCs w:val="24"/>
              </w:rPr>
              <w:t>、</w:t>
            </w:r>
            <w:r>
              <w:rPr>
                <w:rFonts w:ascii="宋体" w:hAnsi="宋体" w:eastAsia="宋体" w:cs="Times New Roman"/>
                <w:snapToGrid w:val="0"/>
                <w:kern w:val="0"/>
                <w:sz w:val="24"/>
                <w:szCs w:val="24"/>
              </w:rPr>
              <w:t>施工安装成套技术、安装防护技术</w:t>
            </w:r>
            <w:r>
              <w:rPr>
                <w:rFonts w:hint="eastAsia" w:ascii="宋体" w:hAnsi="宋体" w:eastAsia="宋体" w:cs="Times New Roman"/>
                <w:snapToGrid w:val="0"/>
                <w:kern w:val="0"/>
                <w:sz w:val="24"/>
                <w:szCs w:val="24"/>
              </w:rPr>
              <w:t>等。</w:t>
            </w:r>
          </w:p>
          <w:p>
            <w:pPr>
              <w:spacing w:line="500" w:lineRule="exact"/>
              <w:ind w:firstLine="482" w:firstLineChars="200"/>
              <w:jc w:val="left"/>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广西柳州装配式建筑现代化产业园项目一期、五建钢结构生产加工基地、柳钢钢结构生产加工基地、三江现代木结构生产加工基地、鹿寨现代建筑装饰部品生产基地等。</w:t>
            </w:r>
          </w:p>
        </w:tc>
      </w:tr>
    </w:tbl>
    <w:p>
      <w:pPr>
        <w:pStyle w:val="3"/>
        <w:ind w:firstLine="643"/>
        <w:rPr>
          <w:rFonts w:ascii="宋体" w:hAnsi="宋体" w:eastAsia="宋体"/>
          <w:b/>
        </w:rPr>
      </w:pPr>
      <w:bookmarkStart w:id="30" w:name="_Toc507683712"/>
      <w:r>
        <w:rPr>
          <w:rFonts w:hint="eastAsia" w:ascii="宋体" w:hAnsi="宋体" w:eastAsia="宋体"/>
          <w:b/>
        </w:rPr>
        <w:t>（四）工业大数据产业</w:t>
      </w:r>
      <w:bookmarkEnd w:id="30"/>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结合国家级“两化融合”试验区建设，以工业大数据为引领持续推进两化深度融合，推动信息技术在工业研发设计、生产制造、经营管理、市场营销、售后服务等产品全生命周期、产业链全流程各环节的创新与应用</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将柳州打造成为全国工业大数据融合应用先行区。</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工业大数据公共服务平台</w:t>
      </w: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snapToGrid w:val="0"/>
          <w:kern w:val="0"/>
          <w:sz w:val="30"/>
          <w:szCs w:val="30"/>
        </w:rPr>
        <w:t>面向工业大数据重点应用环节，提供</w:t>
      </w:r>
      <w:r>
        <w:rPr>
          <w:rFonts w:ascii="仿宋_GB2312" w:hAnsi="Times New Roman" w:eastAsia="仿宋_GB2312" w:cs="Times New Roman"/>
          <w:bCs/>
          <w:snapToGrid w:val="0"/>
          <w:kern w:val="0"/>
          <w:sz w:val="30"/>
          <w:szCs w:val="30"/>
        </w:rPr>
        <w:t>政策咨询、设计与制造资源、共性技术支持、软件与服务、检验检测、教育培训、投融资对接等服务，为柳州乃至周边区域政府、企业提供工业大数据相关服务。</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新能源汽车大数据中心</w:t>
      </w:r>
      <w:r>
        <w:rPr>
          <w:rFonts w:hint="eastAsia"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加快建设</w:t>
      </w:r>
      <w:r>
        <w:rPr>
          <w:rFonts w:ascii="仿宋_GB2312" w:hAnsi="Times New Roman" w:eastAsia="仿宋_GB2312" w:cs="Times New Roman"/>
          <w:snapToGrid w:val="0"/>
          <w:kern w:val="0"/>
          <w:sz w:val="30"/>
          <w:szCs w:val="30"/>
        </w:rPr>
        <w:t>新能源汽车大数据综合服务平台，推进大数据技术在新能源汽车设计研发、生产管理产量质量监控、汽车主要零部件实施预警、充电桩布局、用户群体定位、精准营销、服务维修、工厂库存及生产线部件供应预测等方面的应用，加快新能源汽车共享使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汽车产业大数据应用</w:t>
      </w:r>
      <w:r>
        <w:rPr>
          <w:rFonts w:hint="eastAsia"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重点</w:t>
      </w:r>
      <w:r>
        <w:rPr>
          <w:rFonts w:ascii="仿宋_GB2312" w:hAnsi="Times New Roman" w:eastAsia="仿宋_GB2312" w:cs="Times New Roman"/>
          <w:snapToGrid w:val="0"/>
          <w:kern w:val="0"/>
          <w:sz w:val="30"/>
          <w:szCs w:val="30"/>
        </w:rPr>
        <w:t>发展基于大数据的汽车智能制造，推动大数据在汽车生产运营及可视化、汽车检测质量、汽车零部件供应等领域的应用。发展智能车联网，实现对车辆进行有效的引导与监管。</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机械产业大数据应用</w:t>
      </w: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snapToGrid w:val="0"/>
          <w:kern w:val="0"/>
          <w:sz w:val="30"/>
          <w:szCs w:val="30"/>
        </w:rPr>
        <w:t>围绕发展机电一体化自动控制产品，推进大数据在生产计划排成、制造执行系统、质量管理系统中的应用，优化复杂生产过程，促进制造自动化、流程智能化。</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钢铁产业大数据应用。</w:t>
      </w:r>
      <w:r>
        <w:rPr>
          <w:rFonts w:ascii="仿宋_GB2312" w:hAnsi="Times New Roman" w:eastAsia="仿宋_GB2312" w:cs="Times New Roman"/>
          <w:snapToGrid w:val="0"/>
          <w:kern w:val="0"/>
          <w:sz w:val="30"/>
          <w:szCs w:val="30"/>
        </w:rPr>
        <w:t>推动大数据在钢铁生产计划优化模型与物料平衡模型中的应用。通过感知设备实时采集生产过程数据，结合工艺数据模型，应用大数据技术对数据进行智能化处理，提高生产过程的智能化水平和产品质量实现精益生产。</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高端装备制造业大数据应用。</w:t>
      </w:r>
      <w:r>
        <w:rPr>
          <w:rFonts w:ascii="仿宋_GB2312" w:hAnsi="Times New Roman" w:eastAsia="仿宋_GB2312" w:cs="Times New Roman"/>
          <w:snapToGrid w:val="0"/>
          <w:kern w:val="0"/>
          <w:sz w:val="30"/>
          <w:szCs w:val="30"/>
        </w:rPr>
        <w:t>推动工业机器人、智能专用装备、3D打印机、数控机床、高效节能发动机、通用航空等产业大数据应用。推动大数据技术与先进制造技术的融合应用，加快推进制造模式的智能化、服务化转变。</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7"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4  工业大数据产业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jc w:val="left"/>
              <w:rPr>
                <w:rFonts w:ascii="宋体" w:hAnsi="宋体" w:eastAsia="宋体" w:cs="Times New Roman"/>
                <w:b/>
                <w:snapToGrid w:val="0"/>
                <w:kern w:val="0"/>
                <w:sz w:val="24"/>
                <w:szCs w:val="24"/>
              </w:rPr>
            </w:pPr>
            <w:r>
              <w:rPr>
                <w:rFonts w:hint="eastAsia" w:ascii="宋体" w:hAnsi="宋体" w:eastAsia="宋体" w:cs="Times New Roman"/>
                <w:b/>
                <w:snapToGrid w:val="0"/>
                <w:kern w:val="0"/>
                <w:sz w:val="24"/>
                <w:szCs w:val="24"/>
              </w:rPr>
              <w:t>重点突破技术：</w:t>
            </w:r>
            <w:r>
              <w:rPr>
                <w:rFonts w:ascii="宋体" w:hAnsi="宋体" w:eastAsia="宋体" w:cs="Times New Roman"/>
                <w:snapToGrid w:val="0"/>
                <w:kern w:val="0"/>
                <w:sz w:val="24"/>
                <w:szCs w:val="24"/>
              </w:rPr>
              <w:t>大数据分析关键算法和共性基础技术</w:t>
            </w:r>
            <w:r>
              <w:rPr>
                <w:rFonts w:hint="eastAsia" w:ascii="宋体" w:hAnsi="宋体" w:eastAsia="宋体" w:cs="Times New Roman"/>
                <w:snapToGrid w:val="0"/>
                <w:kern w:val="0"/>
                <w:sz w:val="24"/>
                <w:szCs w:val="24"/>
              </w:rPr>
              <w:t>、数据获取、数据存储、数据处理与分析、数据应用的大数据技术、</w:t>
            </w:r>
            <w:r>
              <w:rPr>
                <w:rFonts w:ascii="宋体" w:hAnsi="宋体" w:eastAsia="宋体" w:cs="Times New Roman"/>
                <w:snapToGrid w:val="0"/>
                <w:kern w:val="0"/>
                <w:sz w:val="24"/>
                <w:szCs w:val="24"/>
              </w:rPr>
              <w:t>大数据理解、分析、预测及决策支持与知识服务等智能数据应用技术</w:t>
            </w:r>
            <w:r>
              <w:rPr>
                <w:rFonts w:hint="eastAsia" w:ascii="宋体" w:hAnsi="宋体" w:eastAsia="宋体" w:cs="Times New Roman"/>
                <w:snapToGrid w:val="0"/>
                <w:kern w:val="0"/>
                <w:sz w:val="24"/>
                <w:szCs w:val="24"/>
              </w:rPr>
              <w:t>等。</w:t>
            </w:r>
          </w:p>
          <w:p>
            <w:pPr>
              <w:spacing w:line="500" w:lineRule="exact"/>
              <w:ind w:firstLine="482" w:firstLineChars="200"/>
              <w:jc w:val="left"/>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重点推进项目：</w:t>
            </w:r>
            <w:r>
              <w:rPr>
                <w:rFonts w:ascii="宋体" w:hAnsi="宋体" w:eastAsia="宋体" w:cs="Times New Roman"/>
                <w:snapToGrid w:val="0"/>
                <w:kern w:val="0"/>
                <w:sz w:val="24"/>
                <w:szCs w:val="24"/>
              </w:rPr>
              <w:t>工业大数据公共服务平台</w:t>
            </w:r>
            <w:r>
              <w:rPr>
                <w:rFonts w:hint="eastAsia" w:ascii="宋体" w:hAnsi="宋体" w:eastAsia="宋体" w:cs="Times New Roman"/>
                <w:snapToGrid w:val="0"/>
                <w:kern w:val="0"/>
                <w:sz w:val="24"/>
                <w:szCs w:val="24"/>
              </w:rPr>
              <w:t>、</w:t>
            </w:r>
            <w:r>
              <w:rPr>
                <w:rFonts w:ascii="宋体" w:hAnsi="宋体" w:eastAsia="宋体" w:cs="Times New Roman"/>
                <w:snapToGrid w:val="0"/>
                <w:kern w:val="0"/>
                <w:sz w:val="24"/>
                <w:szCs w:val="24"/>
              </w:rPr>
              <w:t>新能源汽车大数据中心</w:t>
            </w:r>
            <w:r>
              <w:rPr>
                <w:rFonts w:hint="eastAsia" w:ascii="宋体" w:hAnsi="宋体" w:eastAsia="宋体" w:cs="Times New Roman"/>
                <w:snapToGrid w:val="0"/>
                <w:kern w:val="0"/>
                <w:sz w:val="24"/>
                <w:szCs w:val="24"/>
              </w:rPr>
              <w:t>、广西工业设计城等。</w:t>
            </w:r>
          </w:p>
        </w:tc>
      </w:tr>
    </w:tbl>
    <w:p>
      <w:pPr>
        <w:pStyle w:val="3"/>
      </w:pPr>
      <w:bookmarkStart w:id="31" w:name="_Toc507683713"/>
      <w:r>
        <w:rPr>
          <w:rFonts w:hint="eastAsia"/>
        </w:rPr>
        <w:t>二、提升壮大六大优势产业</w:t>
      </w:r>
      <w:bookmarkEnd w:id="31"/>
    </w:p>
    <w:p>
      <w:pPr>
        <w:pStyle w:val="4"/>
        <w:tabs>
          <w:tab w:val="left" w:pos="720"/>
        </w:tabs>
        <w:spacing w:before="120" w:after="120" w:line="240" w:lineRule="auto"/>
        <w:ind w:left="643"/>
        <w:rPr>
          <w:rFonts w:ascii="宋体" w:hAnsi="宋体" w:eastAsia="宋体" w:cs="Times New Roman"/>
          <w:color w:val="000000"/>
          <w:kern w:val="0"/>
          <w:lang w:val="zh-CN"/>
        </w:rPr>
      </w:pPr>
      <w:bookmarkStart w:id="32" w:name="_Toc507683714"/>
      <w:r>
        <w:rPr>
          <w:rFonts w:hint="eastAsia" w:ascii="宋体" w:hAnsi="宋体" w:eastAsia="宋体" w:cs="Times New Roman"/>
          <w:color w:val="000000"/>
          <w:kern w:val="0"/>
          <w:lang w:val="zh-CN"/>
        </w:rPr>
        <w:t>（一）新能源汽车</w:t>
      </w:r>
      <w:bookmarkEnd w:id="27"/>
      <w:r>
        <w:rPr>
          <w:rFonts w:hint="eastAsia" w:ascii="宋体" w:hAnsi="宋体" w:eastAsia="宋体" w:cs="Times New Roman"/>
          <w:color w:val="000000"/>
          <w:kern w:val="0"/>
          <w:lang w:val="zh-CN"/>
        </w:rPr>
        <w:t>产业</w:t>
      </w:r>
      <w:bookmarkEnd w:id="3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以纯电动汽车、混合动力汽车为主攻方向，加大研发投入，积极推进产业化发展，建设关键核心部件配套体系，构建国内领先的新能源汽车研发制造基地。2020年，力争实现新能源汽车产业产值300亿元。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——新能源汽车整车。</w:t>
      </w:r>
      <w:r>
        <w:rPr>
          <w:rFonts w:hint="eastAsia" w:ascii="仿宋_GB2312" w:hAnsi="Times New Roman" w:eastAsia="仿宋_GB2312" w:cs="Times New Roman"/>
          <w:snapToGrid w:val="0"/>
          <w:kern w:val="0"/>
          <w:sz w:val="30"/>
          <w:szCs w:val="30"/>
        </w:rPr>
        <w:t>重点发展纯电动乘用车，加快发展插电式混合动力汽车，大力发展新能源专用车和轻卡，积极发展新能源客车产品。上汽通用五菱汽车股份有限公司重点发展两厢、三厢纯电动轿车、插电式混合动力MPV和SUV、增程式混合动力汽车产品。东风柳州汽车有限公司重点发展纯电动中级轿车、纯电动SUV、纯电动家用和城市物流MPV、纯电动轻卡产品。广西汽车集团重点发展新能源客车、乘用车、观光车、物流运输车、专用车。加大新能源汽车产业化投入，实现规模化发展。</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——新能源汽车零部件。</w:t>
      </w:r>
      <w:r>
        <w:rPr>
          <w:rFonts w:hint="eastAsia" w:ascii="仿宋_GB2312" w:hAnsi="Times New Roman" w:eastAsia="仿宋_GB2312" w:cs="Times New Roman"/>
          <w:snapToGrid w:val="0"/>
          <w:kern w:val="0"/>
          <w:sz w:val="30"/>
          <w:szCs w:val="30"/>
        </w:rPr>
        <w:t>加强与高等院校、国内科研院所产学研合作，积极发展新能源汽车电池、电机、电控、电驱动轿等关键部件，加强电动汽车控制系统、电驱动系统、蓄能系统及其它关键零部件等核心技术研发。积极推进轻量化技术研究和应用，加快发展适合新能源汽车的车身和底盘结构产品。积极发展充电机、</w:t>
      </w:r>
      <w:r>
        <w:fldChar w:fldCharType="begin"/>
      </w:r>
      <w:r>
        <w:instrText xml:space="preserve"> HYPERLINK "http://www.ocn.com.cn/reports/1862chongdianzhuang.shtml" \t "_blank" </w:instrText>
      </w:r>
      <w:r>
        <w:fldChar w:fldCharType="separate"/>
      </w:r>
      <w:r>
        <w:rPr>
          <w:rFonts w:hint="eastAsia" w:ascii="仿宋_GB2312" w:hAnsi="Times New Roman" w:eastAsia="仿宋_GB2312" w:cs="Times New Roman"/>
          <w:snapToGrid w:val="0"/>
          <w:kern w:val="0"/>
          <w:sz w:val="30"/>
          <w:szCs w:val="30"/>
        </w:rPr>
        <w:t>充电桩</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、有源滤波装置、电能监控系统等充电设施产品。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——配套服务业。</w:t>
      </w:r>
      <w:r>
        <w:rPr>
          <w:rFonts w:hint="eastAsia" w:ascii="仿宋_GB2312" w:hAnsi="Times New Roman" w:eastAsia="仿宋_GB2312" w:cs="Times New Roman"/>
          <w:snapToGrid w:val="0"/>
          <w:kern w:val="0"/>
          <w:sz w:val="30"/>
          <w:szCs w:val="30"/>
        </w:rPr>
        <w:t>完善新能源汽车使用基础设施，科学布局新能源汽车充电桩，积极发展固定场所充电、移动充电、换电池等多种形式的充电服务模式。推进新能源汽车运营营销服务体系建设，打造新能源汽车整车租赁、电池租赁、电池梯级利用与回收再利用等配套服务产业链。</w:t>
      </w:r>
      <w:r>
        <w:rPr>
          <w:rFonts w:ascii="仿宋_GB2312" w:hAnsi="Times New Roman" w:eastAsia="仿宋_GB2312" w:cs="Times New Roman"/>
          <w:snapToGrid w:val="0"/>
          <w:kern w:val="0"/>
          <w:sz w:val="30"/>
          <w:szCs w:val="30"/>
        </w:rPr>
        <w:t>推进</w:t>
      </w:r>
      <w:r>
        <w:rPr>
          <w:rFonts w:hint="eastAsia" w:ascii="仿宋_GB2312" w:hAnsi="Times New Roman" w:eastAsia="仿宋_GB2312" w:cs="Times New Roman"/>
          <w:snapToGrid w:val="0"/>
          <w:kern w:val="0"/>
          <w:sz w:val="30"/>
          <w:szCs w:val="30"/>
        </w:rPr>
        <w:t>新能源公共交通体系的建设。</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2"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仿宋_GB2312" w:hAnsi="Times New Roman" w:eastAsia="仿宋_GB2312" w:cs="Times New Roman"/>
                <w:b/>
                <w:bCs/>
                <w:snapToGrid w:val="0"/>
                <w:kern w:val="0"/>
                <w:sz w:val="28"/>
                <w:szCs w:val="28"/>
              </w:rPr>
            </w:pPr>
            <w:r>
              <w:rPr>
                <w:rFonts w:ascii="仿宋_GB2312" w:hAnsi="Times New Roman" w:eastAsia="仿宋_GB2312" w:cs="Times New Roman"/>
                <w:b/>
                <w:bCs/>
                <w:snapToGrid w:val="0"/>
                <w:kern w:val="0"/>
                <w:sz w:val="28"/>
                <w:szCs w:val="28"/>
              </w:rPr>
              <w:t>专栏</w:t>
            </w:r>
            <w:r>
              <w:rPr>
                <w:rFonts w:hint="eastAsia" w:ascii="仿宋_GB2312" w:hAnsi="Times New Roman" w:eastAsia="仿宋_GB2312" w:cs="Times New Roman"/>
                <w:b/>
                <w:bCs/>
                <w:snapToGrid w:val="0"/>
                <w:kern w:val="0"/>
                <w:sz w:val="28"/>
                <w:szCs w:val="28"/>
              </w:rPr>
              <w:t>5  新能源汽车产业</w:t>
            </w:r>
            <w:r>
              <w:rPr>
                <w:rFonts w:ascii="仿宋_GB2312" w:hAnsi="Times New Roman" w:eastAsia="仿宋_GB2312" w:cs="Times New Roman"/>
                <w:b/>
                <w:bCs/>
                <w:snapToGrid w:val="0"/>
                <w:kern w:val="0"/>
                <w:sz w:val="28"/>
                <w:szCs w:val="28"/>
              </w:rPr>
              <w:t>重点发展</w:t>
            </w:r>
            <w:r>
              <w:rPr>
                <w:rFonts w:hint="eastAsia" w:ascii="仿宋_GB2312" w:hAnsi="Times New Roman" w:eastAsia="仿宋_GB2312"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纯电、弱混和插电强混等新能源产品技术、基于传统车型平台的新能源汽车开发技术、电芯能量密度提升技术、电池系统轻量化技术、驱动电机开发技术、车身和底盘系统轻量化技术、智能汽车环境感知/智能决策/控制执行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上汽通用五菱系列纯电动汽车开发及产业化项目、</w:t>
            </w:r>
            <w:r>
              <w:rPr>
                <w:rFonts w:ascii="宋体" w:hAnsi="宋体" w:eastAsia="宋体" w:cs="Times New Roman"/>
                <w:snapToGrid w:val="0"/>
                <w:kern w:val="0"/>
                <w:sz w:val="24"/>
                <w:szCs w:val="24"/>
              </w:rPr>
              <w:t xml:space="preserve">48V </w:t>
            </w:r>
            <w:r>
              <w:rPr>
                <w:rFonts w:hint="eastAsia" w:ascii="宋体" w:hAnsi="宋体" w:eastAsia="宋体" w:cs="Times New Roman"/>
                <w:snapToGrid w:val="0"/>
                <w:kern w:val="0"/>
                <w:sz w:val="24"/>
                <w:szCs w:val="24"/>
              </w:rPr>
              <w:t>节能汽车项目、东风柳汽柳东新能源汽车生产基地项目、卡耐高性能车用动力电池及系统技术产业化项目、广西汽车集团新能源汽车电机、电控系统、增程器等零部件生产项目。</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33" w:name="_Toc499407415"/>
      <w:bookmarkStart w:id="34" w:name="_Toc507683715"/>
      <w:r>
        <w:rPr>
          <w:rFonts w:hint="eastAsia" w:ascii="宋体" w:hAnsi="宋体" w:eastAsia="宋体" w:cs="Times New Roman"/>
          <w:color w:val="000000"/>
          <w:kern w:val="0"/>
          <w:lang w:val="zh-CN"/>
        </w:rPr>
        <w:t>（二）高端装备制造</w:t>
      </w:r>
      <w:bookmarkEnd w:id="33"/>
      <w:r>
        <w:rPr>
          <w:rFonts w:hint="eastAsia" w:ascii="宋体" w:hAnsi="宋体" w:eastAsia="宋体" w:cs="Times New Roman"/>
          <w:color w:val="000000"/>
          <w:kern w:val="0"/>
          <w:lang w:val="zh-CN"/>
        </w:rPr>
        <w:t>业</w:t>
      </w:r>
      <w:bookmarkEnd w:id="3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依托柳州现有产业基础</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以实施广西机械工业二次创业及建设广西智能制造城（柳州）为契机，加快发展高端智能装备产品，积极推进智能产品集成应用，带动传统产业升级。2020年，力争实现高端装备制造</w:t>
      </w:r>
      <w:r>
        <w:rPr>
          <w:rFonts w:ascii="仿宋_GB2312" w:hAnsi="Times New Roman" w:eastAsia="仿宋_GB2312" w:cs="Times New Roman"/>
          <w:snapToGrid w:val="0"/>
          <w:kern w:val="0"/>
          <w:sz w:val="30"/>
          <w:szCs w:val="30"/>
        </w:rPr>
        <w:t>业产值</w:t>
      </w:r>
      <w:r>
        <w:rPr>
          <w:rFonts w:hint="eastAsia" w:ascii="仿宋_GB2312" w:hAnsi="Times New Roman" w:eastAsia="仿宋_GB2312" w:cs="Times New Roman"/>
          <w:snapToGrid w:val="0"/>
          <w:kern w:val="0"/>
          <w:sz w:val="30"/>
          <w:szCs w:val="30"/>
        </w:rPr>
        <w:t>200亿元。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——工业机器人。</w:t>
      </w:r>
      <w:r>
        <w:rPr>
          <w:rFonts w:hint="eastAsia" w:ascii="仿宋_GB2312" w:hAnsi="Times New Roman" w:eastAsia="仿宋_GB2312" w:cs="Times New Roman"/>
          <w:snapToGrid w:val="0"/>
          <w:kern w:val="0"/>
          <w:sz w:val="30"/>
          <w:szCs w:val="30"/>
        </w:rPr>
        <w:t>加快开发和引进机器人整机技术、关键共性技术、集成应用技术，立足汽车、机械、食品、医药等产业，重点发展焊接机器人、喷涂机器人、搬运机器人、装配机器人、上下料机器人、专用机器人，不断提升机器人本体工艺及制造水平。</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——智能专用装备。</w:t>
      </w:r>
      <w:r>
        <w:rPr>
          <w:rFonts w:hint="eastAsia" w:ascii="仿宋_GB2312" w:hAnsi="Times New Roman" w:eastAsia="仿宋_GB2312" w:cs="Times New Roman"/>
          <w:snapToGrid w:val="0"/>
          <w:kern w:val="0"/>
          <w:sz w:val="30"/>
          <w:szCs w:val="30"/>
        </w:rPr>
        <w:t>大力发展以数字化、柔性化及系统集成技术为核心的智能专用装备。重点发展新型传感器、智能测量仪表、伺服电机、控制器、驱动器和减速器等智能核心装置。</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——3D打印</w:t>
      </w:r>
      <w:r>
        <w:rPr>
          <w:rFonts w:ascii="仿宋_GB2312" w:hAnsi="Times New Roman" w:eastAsia="仿宋_GB2312" w:cs="Times New Roman"/>
          <w:b/>
          <w:snapToGrid w:val="0"/>
          <w:kern w:val="0"/>
          <w:sz w:val="30"/>
          <w:szCs w:val="30"/>
        </w:rPr>
        <w:t>机。</w:t>
      </w:r>
      <w:r>
        <w:rPr>
          <w:rFonts w:hint="eastAsia" w:ascii="仿宋_GB2312" w:hAnsi="Times New Roman" w:eastAsia="仿宋_GB2312" w:cs="Times New Roman"/>
          <w:snapToGrid w:val="0"/>
          <w:kern w:val="0"/>
          <w:sz w:val="30"/>
          <w:szCs w:val="30"/>
        </w:rPr>
        <w:t>重点围绕汽车及零部件、智能装备制造、</w:t>
      </w:r>
      <w:r>
        <w:rPr>
          <w:rFonts w:ascii="仿宋_GB2312" w:hAnsi="Times New Roman" w:eastAsia="仿宋_GB2312" w:cs="Times New Roman"/>
          <w:snapToGrid w:val="0"/>
          <w:kern w:val="0"/>
          <w:sz w:val="30"/>
          <w:szCs w:val="30"/>
        </w:rPr>
        <w:t>生物医疗</w:t>
      </w:r>
      <w:r>
        <w:rPr>
          <w:rFonts w:hint="eastAsia" w:ascii="仿宋_GB2312" w:hAnsi="Times New Roman" w:eastAsia="仿宋_GB2312" w:cs="Times New Roman"/>
          <w:snapToGrid w:val="0"/>
          <w:kern w:val="0"/>
          <w:sz w:val="30"/>
          <w:szCs w:val="30"/>
        </w:rPr>
        <w:t>、文化创意等应用领域，积极推进3D打印装备的研发和制造，加大3D打印耗材研发力度，力争取得突破。积极推动3D打印技术向制造业各环节延伸，不断增强自主创新能力。</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数控机床。</w:t>
      </w:r>
      <w:r>
        <w:rPr>
          <w:rFonts w:hint="eastAsia" w:ascii="仿宋_GB2312" w:hAnsi="Times New Roman" w:eastAsia="仿宋_GB2312" w:cs="Times New Roman"/>
          <w:snapToGrid w:val="0"/>
          <w:kern w:val="0"/>
          <w:sz w:val="30"/>
          <w:szCs w:val="30"/>
        </w:rPr>
        <w:t>重点开发多轴、多通道，具有高精度插补、动态补偿和智能化编程等功能的智能型数控机床。积极研发生产应用于汽车、机械、造船、电力、国防工业等领域的</w:t>
      </w:r>
      <w:r>
        <w:rPr>
          <w:rFonts w:ascii="仿宋_GB2312" w:hAnsi="Times New Roman" w:eastAsia="仿宋_GB2312" w:cs="Times New Roman"/>
          <w:snapToGrid w:val="0"/>
          <w:kern w:val="0"/>
          <w:sz w:val="30"/>
          <w:szCs w:val="30"/>
        </w:rPr>
        <w:t>数控机床产</w:t>
      </w:r>
      <w:r>
        <w:rPr>
          <w:rFonts w:hint="eastAsia" w:ascii="仿宋_GB2312" w:hAnsi="Times New Roman" w:eastAsia="仿宋_GB2312" w:cs="Times New Roman"/>
          <w:snapToGrid w:val="0"/>
          <w:kern w:val="0"/>
          <w:sz w:val="30"/>
          <w:szCs w:val="30"/>
        </w:rPr>
        <w:t>品</w:t>
      </w:r>
      <w:r>
        <w:rPr>
          <w:rFonts w:ascii="仿宋_GB2312" w:hAnsi="Times New Roman" w:eastAsia="仿宋_GB2312" w:cs="Times New Roman"/>
          <w:snapToGrid w:val="0"/>
          <w:kern w:val="0"/>
          <w:sz w:val="30"/>
          <w:szCs w:val="30"/>
        </w:rPr>
        <w:t>。</w:t>
      </w:r>
    </w:p>
    <w:p>
      <w:pPr>
        <w:spacing w:line="560" w:lineRule="exact"/>
        <w:ind w:firstLine="602" w:firstLineChars="200"/>
        <w:rPr>
          <w:rFonts w:ascii="仿宋_GB2312" w:hAnsi="Times New Roman" w:eastAsia="仿宋_GB2312" w:cs="Times New Roman"/>
          <w:snapToGrid w:val="0"/>
          <w:kern w:val="0"/>
          <w:sz w:val="30"/>
          <w:szCs w:val="30"/>
        </w:rPr>
      </w:pPr>
      <w:bookmarkStart w:id="35" w:name="_Toc384128479"/>
      <w:bookmarkStart w:id="36" w:name="_Toc385279828"/>
      <w:r>
        <w:rPr>
          <w:rFonts w:hint="eastAsia" w:ascii="仿宋_GB2312" w:hAnsi="Times New Roman" w:eastAsia="仿宋_GB2312" w:cs="Times New Roman"/>
          <w:b/>
          <w:snapToGrid w:val="0"/>
          <w:kern w:val="0"/>
          <w:sz w:val="30"/>
          <w:szCs w:val="30"/>
        </w:rPr>
        <w:t>——智能工程机械。</w:t>
      </w:r>
      <w:r>
        <w:rPr>
          <w:rFonts w:hint="eastAsia" w:ascii="仿宋_GB2312" w:hAnsi="Times New Roman" w:eastAsia="仿宋_GB2312" w:cs="Times New Roman"/>
          <w:snapToGrid w:val="0"/>
          <w:kern w:val="0"/>
          <w:sz w:val="30"/>
          <w:szCs w:val="30"/>
        </w:rPr>
        <w:t>积极推动工程机械向信息化、智能化改造升级，重点发展智能轮式装载机、智能液压挖掘机、智能道路机械、智能矿山机械、智能建筑机械。</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0"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6  高端装备制造业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智能控制技术、全制造流程仿真技术、3D打印快速制造技术等。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欧维姆锚具及缆索事业部智能工厂项目、川崎机器人维修及总装项目、 唐山开元机器人系统有限公司焊接机器人生产项目、快速制造公司金属喷涂模具智造技术研发项目、长虹精密数控机床生产项目等。</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37" w:name="_Toc499407419"/>
      <w:bookmarkStart w:id="38" w:name="_Toc507683716"/>
      <w:r>
        <w:rPr>
          <w:rFonts w:hint="eastAsia" w:ascii="宋体" w:hAnsi="宋体" w:eastAsia="宋体" w:cs="Times New Roman"/>
          <w:color w:val="000000"/>
          <w:kern w:val="0"/>
          <w:lang w:val="zh-CN"/>
        </w:rPr>
        <w:t>（三）电子信息</w:t>
      </w:r>
      <w:bookmarkEnd w:id="37"/>
      <w:r>
        <w:rPr>
          <w:rFonts w:hint="eastAsia" w:ascii="宋体" w:hAnsi="宋体" w:eastAsia="宋体" w:cs="Times New Roman"/>
          <w:color w:val="000000"/>
          <w:kern w:val="0"/>
          <w:lang w:val="zh-CN"/>
        </w:rPr>
        <w:t>产业</w:t>
      </w:r>
      <w:bookmarkEnd w:id="3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依托汽车产品的升级换代，大力发展汽车电子产业，加快发展北斗信息产业，积极发展物联网、大数据、云计算等新一代信息技术。2020年，力争实现电子信息产业产值200亿元。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——汽车电子。</w:t>
      </w:r>
      <w:r>
        <w:rPr>
          <w:rFonts w:hint="eastAsia" w:ascii="仿宋_GB2312" w:hAnsi="Times New Roman" w:eastAsia="仿宋_GB2312" w:cs="Times New Roman"/>
          <w:snapToGrid w:val="0"/>
          <w:kern w:val="0"/>
          <w:sz w:val="30"/>
          <w:szCs w:val="30"/>
        </w:rPr>
        <w:t>重点发展整车分布式控制系统、电控系统、电驱动变速系统、电动化总成控制系统、关键</w:t>
      </w:r>
      <w:r>
        <w:fldChar w:fldCharType="begin"/>
      </w:r>
      <w:r>
        <w:instrText xml:space="preserve"> HYPERLINK "http://www.ocn.com.cn/reports/1528chuanganqi.shtml" \t "_blank" </w:instrText>
      </w:r>
      <w:r>
        <w:fldChar w:fldCharType="separate"/>
      </w:r>
      <w:r>
        <w:rPr>
          <w:rFonts w:hint="eastAsia" w:ascii="仿宋_GB2312" w:hAnsi="Times New Roman" w:eastAsia="仿宋_GB2312" w:cs="Times New Roman"/>
          <w:snapToGrid w:val="0"/>
          <w:kern w:val="0"/>
          <w:sz w:val="30"/>
          <w:szCs w:val="30"/>
        </w:rPr>
        <w:t>传感器</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等汽车电子产品。大力发展有刷电机电动助力转向系统，积极发展基于互网联的车载智能信息服务系统、安全监控系统、智慧出行系统。加快发展车载光学系统、车载雷达系统、高精定位系统、车载互联终端、集成控制系统，推动新一代电子信息技术在制造业中的深度应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——北斗信息业。</w:t>
      </w:r>
      <w:r>
        <w:rPr>
          <w:rFonts w:hint="eastAsia" w:ascii="仿宋_GB2312" w:hAnsi="Times New Roman" w:eastAsia="仿宋_GB2312" w:cs="Times New Roman"/>
          <w:snapToGrid w:val="0"/>
          <w:kern w:val="0"/>
          <w:sz w:val="30"/>
          <w:szCs w:val="30"/>
        </w:rPr>
        <w:t>重点发展应用于公共交通管理、糖业蔗区管理、汽车导航、物流、林业、城市管理等领域的卫星导航终端设备、应用系统开发与系统集成。加快发展北斗卫星导航系统相关定位、导航、授时终端设备的元器件制造、核心芯片研发等新一代电子信息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——物联网。</w:t>
      </w:r>
      <w:r>
        <w:rPr>
          <w:rFonts w:hint="eastAsia" w:ascii="仿宋_GB2312" w:hAnsi="Times New Roman" w:eastAsia="仿宋_GB2312" w:cs="Times New Roman"/>
          <w:snapToGrid w:val="0"/>
          <w:kern w:val="0"/>
          <w:sz w:val="30"/>
          <w:szCs w:val="30"/>
        </w:rPr>
        <w:t>大力发展RFID芯片、智能传感器、传感网络设备等物联网设备，积极发展嵌入式软件、数据库软件、中间件、数据分析、传感网智能管理等高端软件。</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——云计算。</w:t>
      </w:r>
      <w:r>
        <w:rPr>
          <w:rFonts w:hint="eastAsia" w:ascii="仿宋_GB2312" w:hAnsi="Times New Roman" w:eastAsia="仿宋_GB2312" w:cs="Times New Roman"/>
          <w:snapToGrid w:val="0"/>
          <w:kern w:val="0"/>
          <w:sz w:val="30"/>
          <w:szCs w:val="30"/>
        </w:rPr>
        <w:t>以工业云为重点，加快发展工业专用软件、工业数据分析、在线虚拟仿真、协同研发设计等类型的云服务，积极推进制造业企业加快基于云计算的业务模式和商业模式创新。</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9"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ind w:firstLine="562" w:firstLineChars="200"/>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7  电子信息产业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ascii="宋体" w:hAnsi="宋体" w:eastAsia="宋体" w:cs="Times New Roman"/>
                <w:snapToGrid w:val="0"/>
                <w:kern w:val="0"/>
                <w:sz w:val="24"/>
                <w:szCs w:val="24"/>
              </w:rPr>
              <w:t>电动助力转向系统(EPS)技术</w:t>
            </w:r>
            <w:r>
              <w:rPr>
                <w:rFonts w:hint="eastAsia" w:ascii="宋体" w:hAnsi="宋体" w:eastAsia="宋体" w:cs="Times New Roman"/>
                <w:snapToGrid w:val="0"/>
                <w:kern w:val="0"/>
                <w:sz w:val="24"/>
                <w:szCs w:val="24"/>
              </w:rPr>
              <w:t>、基于通信领域的大数据处理技术、人工智能深度学习技术、网络安全特征检测技术等。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联合电子ME17U6发动机控制器生产线建设项目、BCM2.X车身控制器生产线建设项目、耐世特有刷电机电动助力转向系统生产基地建设项目、航盛科技车载摄像头智能化生产改造项目、达迪公司RFID智能ODF系统产业化项目等。</w:t>
            </w:r>
          </w:p>
        </w:tc>
      </w:tr>
      <w:bookmarkEnd w:id="35"/>
      <w:bookmarkEnd w:id="36"/>
    </w:tbl>
    <w:p>
      <w:pPr>
        <w:pStyle w:val="4"/>
        <w:tabs>
          <w:tab w:val="left" w:pos="720"/>
        </w:tabs>
        <w:spacing w:before="120" w:after="120" w:line="240" w:lineRule="auto"/>
        <w:ind w:left="643"/>
        <w:rPr>
          <w:rFonts w:ascii="宋体" w:hAnsi="宋体" w:eastAsia="宋体" w:cs="Times New Roman"/>
          <w:color w:val="000000"/>
          <w:kern w:val="0"/>
          <w:lang w:val="zh-CN"/>
        </w:rPr>
      </w:pPr>
      <w:bookmarkStart w:id="39" w:name="_Toc499407416"/>
      <w:bookmarkStart w:id="40" w:name="_Toc507683717"/>
      <w:r>
        <w:rPr>
          <w:rFonts w:hint="eastAsia" w:ascii="宋体" w:hAnsi="宋体" w:eastAsia="宋体" w:cs="Times New Roman"/>
          <w:color w:val="000000"/>
          <w:kern w:val="0"/>
          <w:lang w:val="zh-CN"/>
        </w:rPr>
        <w:t>（四）新材料</w:t>
      </w:r>
      <w:bookmarkEnd w:id="39"/>
      <w:r>
        <w:rPr>
          <w:rFonts w:hint="eastAsia" w:ascii="宋体" w:hAnsi="宋体" w:eastAsia="宋体" w:cs="Times New Roman"/>
          <w:color w:val="000000"/>
          <w:kern w:val="0"/>
          <w:lang w:val="zh-CN"/>
        </w:rPr>
        <w:t>产业</w:t>
      </w:r>
      <w:bookmarkEnd w:id="4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依托资源优势和产业基础，围绕高性能铝材</w:t>
      </w:r>
      <w:r>
        <w:rPr>
          <w:rFonts w:ascii="仿宋_GB2312" w:hAnsi="Times New Roman" w:eastAsia="仿宋_GB2312" w:cs="Times New Roman"/>
          <w:snapToGrid w:val="0"/>
          <w:kern w:val="0"/>
          <w:sz w:val="30"/>
          <w:szCs w:val="30"/>
        </w:rPr>
        <w:t>料</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铟金属材料</w:t>
      </w:r>
      <w:r>
        <w:rPr>
          <w:rFonts w:hint="eastAsia" w:ascii="仿宋_GB2312" w:hAnsi="Times New Roman" w:eastAsia="仿宋_GB2312" w:cs="Times New Roman"/>
          <w:snapToGrid w:val="0"/>
          <w:kern w:val="0"/>
          <w:sz w:val="30"/>
          <w:szCs w:val="30"/>
        </w:rPr>
        <w:t>、新型特种钢、珠光材料、石墨烯材料等领域，加大研发投入，做大产业规模。2020年，力争实现新材料产业</w:t>
      </w:r>
      <w:r>
        <w:rPr>
          <w:rFonts w:ascii="仿宋_GB2312" w:hAnsi="Times New Roman" w:eastAsia="仿宋_GB2312" w:cs="Times New Roman"/>
          <w:snapToGrid w:val="0"/>
          <w:kern w:val="0"/>
          <w:sz w:val="30"/>
          <w:szCs w:val="30"/>
        </w:rPr>
        <w:t>产值</w:t>
      </w:r>
      <w:r>
        <w:rPr>
          <w:rFonts w:hint="eastAsia" w:ascii="仿宋_GB2312" w:hAnsi="Times New Roman" w:eastAsia="仿宋_GB2312" w:cs="Times New Roman"/>
          <w:snapToGrid w:val="0"/>
          <w:kern w:val="0"/>
          <w:sz w:val="30"/>
          <w:szCs w:val="30"/>
        </w:rPr>
        <w:t>100亿元。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——高性能铝材料。</w:t>
      </w:r>
      <w:r>
        <w:rPr>
          <w:rFonts w:hint="eastAsia" w:ascii="仿宋_GB2312" w:hAnsi="Times New Roman" w:eastAsia="仿宋_GB2312" w:cs="Times New Roman"/>
          <w:snapToGrid w:val="0"/>
          <w:kern w:val="0"/>
          <w:sz w:val="30"/>
          <w:szCs w:val="30"/>
        </w:rPr>
        <w:t>依托广西柳州银海铝业股份有限公司装备优势，重点发展大规格、高品质铝材产品，大力发展交通运输、电子电器、建筑装饰等领域用高性能铝材。适应汽车发展轻量化，积极发展铝合金铸件、铝轮毂、车用铝发动机壳等产品，打造汽车用铝材深加工基地。</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铟金属材料。</w:t>
      </w:r>
      <w:r>
        <w:rPr>
          <w:rFonts w:ascii="仿宋_GB2312" w:hAnsi="Times New Roman" w:eastAsia="仿宋_GB2312" w:cs="Times New Roman"/>
          <w:snapToGrid w:val="0"/>
          <w:kern w:val="0"/>
          <w:sz w:val="30"/>
          <w:szCs w:val="30"/>
        </w:rPr>
        <w:t>重点发展</w:t>
      </w:r>
      <w:r>
        <w:rPr>
          <w:rFonts w:hint="eastAsia" w:ascii="仿宋_GB2312" w:hAnsi="Times New Roman" w:eastAsia="仿宋_GB2312" w:cs="Times New Roman"/>
          <w:snapToGrid w:val="0"/>
          <w:kern w:val="0"/>
          <w:sz w:val="30"/>
          <w:szCs w:val="30"/>
        </w:rPr>
        <w:t>氧化铟锡（</w:t>
      </w:r>
      <w:r>
        <w:rPr>
          <w:rFonts w:ascii="仿宋_GB2312" w:hAnsi="Times New Roman" w:eastAsia="仿宋_GB2312" w:cs="Times New Roman"/>
          <w:snapToGrid w:val="0"/>
          <w:kern w:val="0"/>
          <w:sz w:val="30"/>
          <w:szCs w:val="30"/>
        </w:rPr>
        <w:t>ITO</w:t>
      </w:r>
      <w:r>
        <w:rPr>
          <w:rFonts w:hint="eastAsia" w:ascii="仿宋_GB2312" w:hAnsi="Times New Roman" w:eastAsia="仿宋_GB2312" w:cs="Times New Roman"/>
          <w:snapToGrid w:val="0"/>
          <w:kern w:val="0"/>
          <w:sz w:val="30"/>
          <w:szCs w:val="30"/>
        </w:rPr>
        <w:t>）平面靶材和氧化铟锡</w:t>
      </w:r>
      <w:r>
        <w:rPr>
          <w:rFonts w:ascii="仿宋_GB2312" w:hAnsi="Times New Roman" w:eastAsia="仿宋_GB2312" w:cs="Times New Roman"/>
          <w:snapToGrid w:val="0"/>
          <w:kern w:val="0"/>
          <w:sz w:val="30"/>
          <w:szCs w:val="30"/>
        </w:rPr>
        <w:t>(ITO)</w:t>
      </w:r>
      <w:r>
        <w:rPr>
          <w:rFonts w:hint="eastAsia" w:ascii="仿宋_GB2312" w:hAnsi="Times New Roman" w:eastAsia="仿宋_GB2312" w:cs="Times New Roman"/>
          <w:snapToGrid w:val="0"/>
          <w:kern w:val="0"/>
          <w:sz w:val="30"/>
          <w:szCs w:val="30"/>
        </w:rPr>
        <w:t>旋转靶材等</w:t>
      </w:r>
      <w:r>
        <w:rPr>
          <w:rFonts w:ascii="仿宋_GB2312" w:hAnsi="Times New Roman" w:eastAsia="仿宋_GB2312" w:cs="Times New Roman"/>
          <w:snapToGrid w:val="0"/>
          <w:kern w:val="0"/>
          <w:sz w:val="30"/>
          <w:szCs w:val="30"/>
        </w:rPr>
        <w:t>高性能</w:t>
      </w:r>
      <w:r>
        <w:rPr>
          <w:rFonts w:hint="eastAsia" w:ascii="仿宋_GB2312" w:hAnsi="Times New Roman" w:eastAsia="仿宋_GB2312" w:cs="Times New Roman"/>
          <w:snapToGrid w:val="0"/>
          <w:kern w:val="0"/>
          <w:sz w:val="30"/>
          <w:szCs w:val="30"/>
        </w:rPr>
        <w:t>ITO靶材</w:t>
      </w:r>
      <w:r>
        <w:rPr>
          <w:rFonts w:ascii="仿宋_GB2312" w:hAnsi="Times New Roman" w:eastAsia="仿宋_GB2312" w:cs="Times New Roman"/>
          <w:snapToGrid w:val="0"/>
          <w:kern w:val="0"/>
          <w:sz w:val="30"/>
          <w:szCs w:val="30"/>
        </w:rPr>
        <w:t>系列产品</w:t>
      </w:r>
      <w:r>
        <w:rPr>
          <w:rFonts w:hint="eastAsia" w:ascii="仿宋_GB2312" w:hAnsi="Times New Roman" w:eastAsia="仿宋_GB2312" w:cs="Times New Roman"/>
          <w:snapToGrid w:val="0"/>
          <w:kern w:val="0"/>
          <w:sz w:val="30"/>
          <w:szCs w:val="30"/>
        </w:rPr>
        <w:t>，积极发展红外材料、高温超导材料等铟化合物半导体新材料</w:t>
      </w:r>
      <w:r>
        <w:rPr>
          <w:rFonts w:ascii="仿宋_GB2312" w:hAnsi="Times New Roman" w:eastAsia="仿宋_GB2312" w:cs="Times New Roman"/>
          <w:snapToGrid w:val="0"/>
          <w:kern w:val="0"/>
          <w:sz w:val="30"/>
          <w:szCs w:val="30"/>
        </w:rPr>
        <w:t>。</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——新型特种钢。</w:t>
      </w:r>
      <w:r>
        <w:rPr>
          <w:rFonts w:hint="eastAsia" w:ascii="仿宋_GB2312" w:hAnsi="Times New Roman" w:eastAsia="仿宋_GB2312" w:cs="Times New Roman"/>
          <w:snapToGrid w:val="0"/>
          <w:kern w:val="0"/>
          <w:sz w:val="30"/>
          <w:szCs w:val="30"/>
        </w:rPr>
        <w:t>重点发展抗菌不锈钢、高抗腐蚀性不锈钢、双相不锈钢等、核工业用特种不锈钢。加快发展不锈钢高强度焊丝、精线微丝、高精度微丝弹簧、不锈钢标准件、精工滤网等产品。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珠光材料</w:t>
      </w:r>
      <w:r>
        <w:rPr>
          <w:rFonts w:hint="eastAsia"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重点发展化妆品级珠光材料、汽车耐候级珠光材料、加快发展人工合成云母。</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——石墨烯材料。</w:t>
      </w:r>
      <w:r>
        <w:rPr>
          <w:rFonts w:hint="eastAsia" w:ascii="仿宋_GB2312" w:hAnsi="Times New Roman" w:eastAsia="仿宋_GB2312" w:cs="Times New Roman"/>
          <w:snapToGrid w:val="0"/>
          <w:kern w:val="0"/>
          <w:sz w:val="30"/>
          <w:szCs w:val="30"/>
        </w:rPr>
        <w:t>重点发展利用石墨烯生产的储能材料、高密度多孔碳材料、导电材料、导热材料、功能涂料、复合材料、光电子、微电子材料。</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0"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8  新材料产业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TFT级ITO靶材技术、新一代云母研磨技术、全流程智能制造交通运输用铝合金板带材技术、轨道交通用铝合金板材制备与检测技术等。</w:t>
            </w:r>
          </w:p>
          <w:p>
            <w:pPr>
              <w:spacing w:line="500" w:lineRule="exact"/>
              <w:ind w:firstLine="482" w:firstLineChars="200"/>
              <w:rPr>
                <w:rFonts w:eastAsiaTheme="minorHAnsi"/>
                <w:color w:val="000000" w:themeColor="text1"/>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银海铝业公司年产7万吨高性能高品质汽车用铝合金板带材项目、交通运输材轻量化项目、晶联光电60吨TFT级ITO靶材生产线建设项目、鼎铭金属</w:t>
            </w:r>
            <w:r>
              <w:rPr>
                <w:rFonts w:ascii="宋体" w:hAnsi="宋体" w:eastAsia="宋体" w:cs="Times New Roman"/>
                <w:snapToGrid w:val="0"/>
                <w:kern w:val="0"/>
                <w:sz w:val="24"/>
                <w:szCs w:val="24"/>
              </w:rPr>
              <w:t>核级特种合金钢精线生产基地</w:t>
            </w:r>
            <w:r>
              <w:rPr>
                <w:rFonts w:hint="eastAsia" w:ascii="宋体" w:hAnsi="宋体" w:eastAsia="宋体" w:cs="Times New Roman"/>
                <w:snapToGrid w:val="0"/>
                <w:kern w:val="0"/>
                <w:sz w:val="24"/>
                <w:szCs w:val="24"/>
              </w:rPr>
              <w:t>建设项目、七色珠光年产5000吨合成云母和10000吨珠光效应材料技改及扩建生产线项目等。</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41" w:name="_Toc499407417"/>
      <w:bookmarkStart w:id="42" w:name="_Toc507683718"/>
      <w:r>
        <w:rPr>
          <w:rFonts w:hint="eastAsia" w:ascii="宋体" w:hAnsi="宋体" w:eastAsia="宋体" w:cs="Times New Roman"/>
          <w:color w:val="000000"/>
          <w:kern w:val="0"/>
          <w:lang w:val="zh-CN"/>
        </w:rPr>
        <w:t>（五）节能环保</w:t>
      </w:r>
      <w:bookmarkEnd w:id="41"/>
      <w:r>
        <w:rPr>
          <w:rFonts w:hint="eastAsia" w:ascii="宋体" w:hAnsi="宋体" w:eastAsia="宋体" w:cs="Times New Roman"/>
          <w:color w:val="000000"/>
          <w:kern w:val="0"/>
          <w:lang w:val="zh-CN"/>
        </w:rPr>
        <w:t>产业</w:t>
      </w:r>
      <w:bookmarkEnd w:id="4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大力发展低碳经济，积极发展</w:t>
      </w:r>
      <w:r>
        <w:rPr>
          <w:rFonts w:ascii="仿宋_GB2312" w:hAnsi="Times New Roman" w:eastAsia="仿宋_GB2312" w:cs="Times New Roman"/>
          <w:snapToGrid w:val="0"/>
          <w:kern w:val="0"/>
          <w:sz w:val="30"/>
          <w:szCs w:val="30"/>
        </w:rPr>
        <w:t>清洁能源</w:t>
      </w:r>
      <w:r>
        <w:rPr>
          <w:rFonts w:hint="eastAsia" w:ascii="仿宋_GB2312" w:hAnsi="Times New Roman" w:eastAsia="仿宋_GB2312" w:cs="Times New Roman"/>
          <w:snapToGrid w:val="0"/>
          <w:kern w:val="0"/>
          <w:sz w:val="30"/>
          <w:szCs w:val="30"/>
        </w:rPr>
        <w:t>，加快发展节能技术，推进工业再制造，加快工业废气、固体废弃物综合利用。2020年，力争实现节能</w:t>
      </w:r>
      <w:r>
        <w:rPr>
          <w:rFonts w:ascii="仿宋_GB2312" w:hAnsi="Times New Roman" w:eastAsia="仿宋_GB2312" w:cs="Times New Roman"/>
          <w:snapToGrid w:val="0"/>
          <w:kern w:val="0"/>
          <w:sz w:val="30"/>
          <w:szCs w:val="30"/>
        </w:rPr>
        <w:t>环保产业</w:t>
      </w:r>
      <w:r>
        <w:rPr>
          <w:rFonts w:hint="eastAsia" w:ascii="仿宋_GB2312" w:hAnsi="Times New Roman" w:eastAsia="仿宋_GB2312" w:cs="Times New Roman"/>
          <w:snapToGrid w:val="0"/>
          <w:kern w:val="0"/>
          <w:sz w:val="30"/>
          <w:szCs w:val="30"/>
        </w:rPr>
        <w:t>产值100亿元。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——清洁能源。</w:t>
      </w:r>
      <w:r>
        <w:rPr>
          <w:rFonts w:hint="eastAsia" w:ascii="仿宋_GB2312" w:hAnsi="Times New Roman" w:eastAsia="仿宋_GB2312" w:cs="Times New Roman"/>
          <w:snapToGrid w:val="0"/>
          <w:kern w:val="0"/>
          <w:sz w:val="30"/>
          <w:szCs w:val="30"/>
        </w:rPr>
        <w:t>大力发展热电联产项目，加快推进风能、生物质能、太阳能、分布式能源等清洁能源利用。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——节能技术装备。</w:t>
      </w:r>
      <w:r>
        <w:rPr>
          <w:rFonts w:hint="eastAsia" w:ascii="仿宋_GB2312" w:hAnsi="Times New Roman" w:eastAsia="仿宋_GB2312" w:cs="Times New Roman"/>
          <w:snapToGrid w:val="0"/>
          <w:kern w:val="0"/>
          <w:sz w:val="30"/>
          <w:szCs w:val="30"/>
        </w:rPr>
        <w:t>大力研发锅炉自动化控制、低温烟气余热深度回收、锅炉高效燃烧、换热与冷却等核心关键技术，加快发展高效锅炉、蓄热式燃烧技术装备、余热余能回收利用装备，建筑节能技术应用，带动节能产业水平提升。</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——工业再制造。</w:t>
      </w:r>
      <w:r>
        <w:rPr>
          <w:rFonts w:hint="eastAsia" w:ascii="仿宋_GB2312" w:hAnsi="Times New Roman" w:eastAsia="仿宋_GB2312" w:cs="Times New Roman"/>
          <w:snapToGrid w:val="0"/>
          <w:kern w:val="0"/>
          <w:sz w:val="30"/>
          <w:szCs w:val="30"/>
        </w:rPr>
        <w:t>重点发展</w:t>
      </w:r>
      <w:r>
        <w:rPr>
          <w:rFonts w:ascii="仿宋_GB2312" w:hAnsi="Times New Roman" w:eastAsia="仿宋_GB2312" w:cs="Times New Roman"/>
          <w:snapToGrid w:val="0"/>
          <w:kern w:val="0"/>
          <w:sz w:val="30"/>
          <w:szCs w:val="30"/>
        </w:rPr>
        <w:t>汽车、工程机械、矿山机械</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糖业机械、造纸机械</w:t>
      </w:r>
      <w:r>
        <w:rPr>
          <w:rFonts w:hint="eastAsia" w:ascii="仿宋_GB2312" w:hAnsi="Times New Roman" w:eastAsia="仿宋_GB2312" w:cs="Times New Roman"/>
          <w:snapToGrid w:val="0"/>
          <w:kern w:val="0"/>
          <w:sz w:val="30"/>
          <w:szCs w:val="30"/>
        </w:rPr>
        <w:t>、轨道交通等产业</w:t>
      </w:r>
      <w:r>
        <w:rPr>
          <w:rFonts w:ascii="仿宋_GB2312" w:hAnsi="Times New Roman" w:eastAsia="仿宋_GB2312" w:cs="Times New Roman"/>
          <w:snapToGrid w:val="0"/>
          <w:kern w:val="0"/>
          <w:sz w:val="30"/>
          <w:szCs w:val="30"/>
        </w:rPr>
        <w:t>再制造</w:t>
      </w:r>
      <w:r>
        <w:rPr>
          <w:rFonts w:hint="eastAsia" w:ascii="仿宋_GB2312" w:hAnsi="Times New Roman" w:eastAsia="仿宋_GB2312" w:cs="Times New Roman"/>
          <w:snapToGrid w:val="0"/>
          <w:kern w:val="0"/>
          <w:sz w:val="30"/>
          <w:szCs w:val="30"/>
        </w:rPr>
        <w:t>服务。支持利用表面修复、激光等技术为企业产品、设备的高值易损部件提供个性化再制造服务。</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——资源循环利用。</w:t>
      </w:r>
      <w:r>
        <w:rPr>
          <w:rFonts w:hint="eastAsia" w:ascii="仿宋_GB2312" w:hAnsi="Times New Roman" w:eastAsia="仿宋_GB2312" w:cs="Times New Roman"/>
          <w:snapToGrid w:val="0"/>
          <w:kern w:val="0"/>
          <w:sz w:val="30"/>
          <w:szCs w:val="30"/>
        </w:rPr>
        <w:t>大力推进工业废气、废水、废弃物资源化利用，利用废气，开发余热发电、供热。利用矿渣、炉渣生产新型建筑材料。加快发展循环经济。</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7"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ind w:firstLine="562" w:firstLineChars="200"/>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9  节能环保产业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hint="eastAsia" w:ascii="宋体" w:hAnsi="宋体" w:eastAsia="宋体" w:cs="Times New Roman"/>
                <w:snapToGrid w:val="0"/>
                <w:kern w:val="0"/>
                <w:sz w:val="24"/>
                <w:szCs w:val="24"/>
              </w:rPr>
              <w:t>余热发电智能控制技术；废气脱硝、脱氮技术；废弃生物质资源综合利用技术等。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佰能公司烧结环冷机二段出风口改造项目、广西汽车集团报废汽车拆解及汽车零部件再制造项目、柳州市金回再生资源循环利用加工产业园项目等。</w:t>
            </w:r>
          </w:p>
        </w:tc>
      </w:tr>
    </w:tbl>
    <w:p>
      <w:pPr>
        <w:pStyle w:val="4"/>
        <w:tabs>
          <w:tab w:val="left" w:pos="720"/>
        </w:tabs>
        <w:spacing w:before="120" w:after="120" w:line="240" w:lineRule="auto"/>
        <w:ind w:left="643"/>
        <w:rPr>
          <w:rFonts w:ascii="宋体" w:hAnsi="宋体" w:eastAsia="宋体" w:cs="Times New Roman"/>
          <w:color w:val="000000"/>
          <w:kern w:val="0"/>
          <w:lang w:val="zh-CN"/>
        </w:rPr>
      </w:pPr>
      <w:bookmarkStart w:id="43" w:name="_Toc499407418"/>
      <w:bookmarkStart w:id="44" w:name="_Toc507683719"/>
      <w:r>
        <w:rPr>
          <w:rFonts w:hint="eastAsia" w:ascii="宋体" w:hAnsi="宋体" w:eastAsia="宋体" w:cs="Times New Roman"/>
          <w:color w:val="000000"/>
          <w:kern w:val="0"/>
          <w:lang w:val="zh-CN"/>
        </w:rPr>
        <w:t>（六）生物与制药</w:t>
      </w:r>
      <w:bookmarkEnd w:id="43"/>
      <w:r>
        <w:rPr>
          <w:rFonts w:hint="eastAsia" w:ascii="宋体" w:hAnsi="宋体" w:eastAsia="宋体" w:cs="Times New Roman"/>
          <w:color w:val="000000"/>
          <w:kern w:val="0"/>
          <w:lang w:val="zh-CN"/>
        </w:rPr>
        <w:t>产业</w:t>
      </w:r>
      <w:bookmarkEnd w:id="4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重点发展民族医药、中成药，加大中药制药关键技术开发和推广。积极发展酵母深加工、食品添加剂等生物制品，建设国内产量最大酵母抽提物研发生产基地。2020年，力争实现生物与制药产业产值100亿元。</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w:t>
      </w:r>
      <w:r>
        <w:rPr>
          <w:rFonts w:ascii="仿宋_GB2312" w:hAnsi="Times New Roman" w:eastAsia="仿宋_GB2312" w:cs="Times New Roman"/>
          <w:b/>
          <w:snapToGrid w:val="0"/>
          <w:kern w:val="0"/>
          <w:sz w:val="30"/>
          <w:szCs w:val="30"/>
        </w:rPr>
        <w:t>医药</w:t>
      </w:r>
      <w:r>
        <w:rPr>
          <w:rFonts w:hint="eastAsia" w:ascii="仿宋_GB2312" w:hAnsi="Times New Roman" w:eastAsia="仿宋_GB2312" w:cs="Times New Roman"/>
          <w:b/>
          <w:snapToGrid w:val="0"/>
          <w:kern w:val="0"/>
          <w:sz w:val="30"/>
          <w:szCs w:val="30"/>
        </w:rPr>
        <w:t>产品</w:t>
      </w:r>
      <w:r>
        <w:rPr>
          <w:rFonts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充分</w:t>
      </w:r>
      <w:r>
        <w:rPr>
          <w:rFonts w:ascii="仿宋_GB2312" w:hAnsi="Times New Roman" w:eastAsia="仿宋_GB2312" w:cs="Times New Roman"/>
          <w:snapToGrid w:val="0"/>
          <w:kern w:val="0"/>
          <w:sz w:val="30"/>
          <w:szCs w:val="30"/>
        </w:rPr>
        <w:t>利用</w:t>
      </w:r>
      <w:r>
        <w:rPr>
          <w:rFonts w:hint="eastAsia" w:ascii="仿宋_GB2312" w:hAnsi="Times New Roman" w:eastAsia="仿宋_GB2312" w:cs="Times New Roman"/>
          <w:snapToGrid w:val="0"/>
          <w:kern w:val="0"/>
          <w:sz w:val="30"/>
          <w:szCs w:val="30"/>
        </w:rPr>
        <w:t>柳州</w:t>
      </w:r>
      <w:r>
        <w:rPr>
          <w:rFonts w:ascii="仿宋_GB2312" w:hAnsi="Times New Roman" w:eastAsia="仿宋_GB2312" w:cs="Times New Roman"/>
          <w:snapToGrid w:val="0"/>
          <w:kern w:val="0"/>
          <w:sz w:val="30"/>
          <w:szCs w:val="30"/>
        </w:rPr>
        <w:t>丰富的药用植物资源，</w:t>
      </w:r>
      <w:r>
        <w:rPr>
          <w:rFonts w:hint="eastAsia" w:ascii="仿宋_GB2312" w:hAnsi="Times New Roman" w:eastAsia="仿宋_GB2312" w:cs="Times New Roman"/>
          <w:snapToGrid w:val="0"/>
          <w:kern w:val="0"/>
          <w:sz w:val="30"/>
          <w:szCs w:val="30"/>
        </w:rPr>
        <w:t>建立中药原材料基地，重点发展中成药、中药提取物、中药饮片、口服液、</w:t>
      </w:r>
      <w:r>
        <w:rPr>
          <w:rFonts w:ascii="仿宋_GB2312" w:hAnsi="Times New Roman" w:eastAsia="仿宋_GB2312" w:cs="Times New Roman"/>
          <w:snapToGrid w:val="0"/>
          <w:kern w:val="0"/>
          <w:sz w:val="30"/>
          <w:szCs w:val="30"/>
        </w:rPr>
        <w:t>壮</w:t>
      </w:r>
      <w:r>
        <w:rPr>
          <w:rFonts w:hint="eastAsia" w:ascii="仿宋_GB2312" w:hAnsi="Times New Roman" w:eastAsia="仿宋_GB2312" w:cs="Times New Roman"/>
          <w:snapToGrid w:val="0"/>
          <w:kern w:val="0"/>
          <w:sz w:val="30"/>
          <w:szCs w:val="30"/>
        </w:rPr>
        <w:t>苗</w:t>
      </w:r>
      <w:r>
        <w:rPr>
          <w:rFonts w:ascii="仿宋_GB2312" w:hAnsi="Times New Roman" w:eastAsia="仿宋_GB2312" w:cs="Times New Roman"/>
          <w:snapToGrid w:val="0"/>
          <w:kern w:val="0"/>
          <w:sz w:val="30"/>
          <w:szCs w:val="30"/>
        </w:rPr>
        <w:t>瑶药</w:t>
      </w:r>
      <w:r>
        <w:rPr>
          <w:rFonts w:hint="eastAsia" w:ascii="仿宋_GB2312" w:hAnsi="Times New Roman" w:eastAsia="仿宋_GB2312" w:cs="Times New Roman"/>
          <w:snapToGrid w:val="0"/>
          <w:kern w:val="0"/>
          <w:sz w:val="30"/>
          <w:szCs w:val="30"/>
        </w:rPr>
        <w:t xml:space="preserve">。    </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——生物制品</w:t>
      </w:r>
      <w:r>
        <w:rPr>
          <w:rFonts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重点发展</w:t>
      </w:r>
      <w:r>
        <w:rPr>
          <w:rFonts w:ascii="仿宋_GB2312" w:hAnsi="Times New Roman" w:eastAsia="仿宋_GB2312" w:cs="Times New Roman"/>
          <w:snapToGrid w:val="0"/>
          <w:kern w:val="0"/>
          <w:sz w:val="30"/>
          <w:szCs w:val="30"/>
        </w:rPr>
        <w:t>生物活性多肽、</w:t>
      </w:r>
      <w:r>
        <w:rPr>
          <w:rFonts w:hint="eastAsia" w:ascii="仿宋_GB2312" w:hAnsi="Times New Roman" w:eastAsia="仿宋_GB2312" w:cs="Times New Roman"/>
          <w:snapToGrid w:val="0"/>
          <w:kern w:val="0"/>
          <w:sz w:val="30"/>
          <w:szCs w:val="30"/>
        </w:rPr>
        <w:t>酵母类、</w:t>
      </w:r>
      <w:r>
        <w:rPr>
          <w:rFonts w:ascii="仿宋_GB2312" w:hAnsi="Times New Roman" w:eastAsia="仿宋_GB2312" w:cs="Times New Roman"/>
          <w:snapToGrid w:val="0"/>
          <w:kern w:val="0"/>
          <w:sz w:val="30"/>
          <w:szCs w:val="30"/>
        </w:rPr>
        <w:t>糖氨聚酸、</w:t>
      </w:r>
      <w:r>
        <w:rPr>
          <w:rFonts w:hint="eastAsia" w:ascii="仿宋_GB2312" w:hAnsi="Times New Roman" w:eastAsia="仿宋_GB2312" w:cs="Times New Roman"/>
          <w:snapToGrid w:val="0"/>
          <w:kern w:val="0"/>
          <w:sz w:val="30"/>
          <w:szCs w:val="30"/>
        </w:rPr>
        <w:t>氨基酸类和</w:t>
      </w:r>
      <w:r>
        <w:rPr>
          <w:rFonts w:ascii="仿宋_GB2312" w:hAnsi="Times New Roman" w:eastAsia="仿宋_GB2312" w:cs="Times New Roman"/>
          <w:snapToGrid w:val="0"/>
          <w:kern w:val="0"/>
          <w:sz w:val="30"/>
          <w:szCs w:val="30"/>
        </w:rPr>
        <w:t>化学药新品种</w:t>
      </w:r>
      <w:r>
        <w:rPr>
          <w:rFonts w:hint="eastAsia" w:ascii="仿宋_GB2312" w:hAnsi="Times New Roman" w:eastAsia="仿宋_GB2312" w:cs="Times New Roman"/>
          <w:snapToGrid w:val="0"/>
          <w:kern w:val="0"/>
          <w:sz w:val="30"/>
          <w:szCs w:val="30"/>
        </w:rPr>
        <w:t>，加快发展基因工程类药物和生化药物品种的产业化。</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——功能型</w:t>
      </w:r>
      <w:r>
        <w:fldChar w:fldCharType="begin"/>
      </w:r>
      <w:r>
        <w:instrText xml:space="preserve"> HYPERLINK "http://www.ocn.com.cn/reports/2006186baojianping.shtml" \t "_blank" </w:instrText>
      </w:r>
      <w:r>
        <w:fldChar w:fldCharType="separate"/>
      </w:r>
      <w:r>
        <w:rPr>
          <w:rFonts w:hint="eastAsia" w:ascii="仿宋_GB2312" w:hAnsi="Times New Roman" w:eastAsia="仿宋_GB2312" w:cs="Times New Roman"/>
          <w:b/>
          <w:snapToGrid w:val="0"/>
          <w:kern w:val="0"/>
          <w:sz w:val="30"/>
          <w:szCs w:val="30"/>
        </w:rPr>
        <w:t>保健品</w:t>
      </w:r>
      <w:r>
        <w:rPr>
          <w:rFonts w:hint="eastAsia" w:ascii="仿宋_GB2312" w:hAnsi="Times New Roman" w:eastAsia="仿宋_GB2312" w:cs="Times New Roman"/>
          <w:b/>
          <w:snapToGrid w:val="0"/>
          <w:kern w:val="0"/>
          <w:sz w:val="30"/>
          <w:szCs w:val="30"/>
        </w:rPr>
        <w:fldChar w:fldCharType="end"/>
      </w:r>
      <w:r>
        <w:rPr>
          <w:rFonts w:hint="eastAsia" w:ascii="仿宋_GB2312" w:hAnsi="Times New Roman" w:eastAsia="仿宋_GB2312" w:cs="Times New Roman"/>
          <w:b/>
          <w:snapToGrid w:val="0"/>
          <w:kern w:val="0"/>
          <w:sz w:val="30"/>
          <w:szCs w:val="30"/>
        </w:rPr>
        <w:t>。</w:t>
      </w:r>
      <w:r>
        <w:rPr>
          <w:rFonts w:hint="eastAsia" w:ascii="仿宋_GB2312" w:hAnsi="Times New Roman" w:eastAsia="仿宋_GB2312" w:cs="Times New Roman"/>
          <w:snapToGrid w:val="0"/>
          <w:kern w:val="0"/>
          <w:sz w:val="30"/>
          <w:szCs w:val="30"/>
        </w:rPr>
        <w:t>围绕抗疲劳、抗衰老、强免疫、降血脂、降血糖、降血压等功能，重点开发功能性果蔬产品、天然果汁酸乳制品、天然活性产物、多肽类功能型保健品。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——医疗器械</w:t>
      </w:r>
      <w:r>
        <w:rPr>
          <w:rFonts w:hint="eastAsia" w:ascii="仿宋_GB2312" w:hAnsi="Times New Roman" w:eastAsia="仿宋_GB2312" w:cs="Times New Roman"/>
          <w:snapToGrid w:val="0"/>
          <w:kern w:val="0"/>
          <w:sz w:val="30"/>
          <w:szCs w:val="30"/>
        </w:rPr>
        <w:t>。重点发展大型医疗设备、健康和康复辅助器械、便携式家庭医疗器械、</w:t>
      </w:r>
      <w:r>
        <w:fldChar w:fldCharType="begin"/>
      </w:r>
      <w:r>
        <w:instrText xml:space="preserve"> HYPERLINK "http://www.ocn.com.cn/reports/1403kechuandaishebei.shtml" \t "_blank" </w:instrText>
      </w:r>
      <w:r>
        <w:fldChar w:fldCharType="separate"/>
      </w:r>
      <w:r>
        <w:rPr>
          <w:rFonts w:hint="eastAsia" w:ascii="仿宋_GB2312" w:hAnsi="Times New Roman" w:eastAsia="仿宋_GB2312" w:cs="Times New Roman"/>
          <w:snapToGrid w:val="0"/>
          <w:kern w:val="0"/>
          <w:sz w:val="30"/>
          <w:szCs w:val="30"/>
        </w:rPr>
        <w:t>可穿戴设备</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以及相关微型</w:t>
      </w:r>
      <w:r>
        <w:fldChar w:fldCharType="begin"/>
      </w:r>
      <w:r>
        <w:instrText xml:space="preserve"> HYPERLINK "http://www.ocn.com.cn/reports/1528chuanganqi.shtml" \t "_blank" </w:instrText>
      </w:r>
      <w:r>
        <w:fldChar w:fldCharType="separate"/>
      </w:r>
      <w:r>
        <w:rPr>
          <w:rFonts w:hint="eastAsia" w:ascii="仿宋_GB2312" w:hAnsi="Times New Roman" w:eastAsia="仿宋_GB2312" w:cs="Times New Roman"/>
          <w:snapToGrid w:val="0"/>
          <w:kern w:val="0"/>
          <w:sz w:val="30"/>
          <w:szCs w:val="30"/>
        </w:rPr>
        <w:t>传感器</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件。</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2"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10  生物与制药产业</w:t>
            </w:r>
            <w:r>
              <w:rPr>
                <w:rFonts w:ascii="宋体" w:hAnsi="宋体" w:eastAsia="宋体" w:cs="Times New Roman"/>
                <w:b/>
                <w:bCs/>
                <w:snapToGrid w:val="0"/>
                <w:kern w:val="0"/>
                <w:sz w:val="28"/>
                <w:szCs w:val="28"/>
              </w:rPr>
              <w:t>重点发展</w:t>
            </w:r>
            <w:r>
              <w:rPr>
                <w:rFonts w:hint="eastAsia" w:ascii="宋体" w:hAnsi="宋体" w:eastAsia="宋体" w:cs="Times New Roman"/>
                <w:b/>
                <w:bCs/>
                <w:snapToGrid w:val="0"/>
                <w:kern w:val="0"/>
                <w:sz w:val="28"/>
                <w:szCs w:val="28"/>
              </w:rPr>
              <w:t>方向</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重点突破技术：</w:t>
            </w:r>
            <w:r>
              <w:rPr>
                <w:rFonts w:ascii="宋体" w:hAnsi="宋体" w:eastAsia="宋体" w:cs="Times New Roman"/>
                <w:snapToGrid w:val="0"/>
                <w:kern w:val="0"/>
                <w:sz w:val="24"/>
                <w:szCs w:val="24"/>
              </w:rPr>
              <w:t>现代中药提取纯化技术</w:t>
            </w:r>
            <w:r>
              <w:rPr>
                <w:rFonts w:hint="eastAsia" w:ascii="宋体" w:hAnsi="宋体" w:eastAsia="宋体" w:cs="Times New Roman"/>
                <w:snapToGrid w:val="0"/>
                <w:kern w:val="0"/>
                <w:sz w:val="24"/>
                <w:szCs w:val="24"/>
              </w:rPr>
              <w:t>、</w:t>
            </w:r>
            <w:r>
              <w:rPr>
                <w:rFonts w:ascii="宋体" w:hAnsi="宋体" w:eastAsia="宋体" w:cs="Times New Roman"/>
                <w:snapToGrid w:val="0"/>
                <w:kern w:val="0"/>
                <w:sz w:val="24"/>
                <w:szCs w:val="24"/>
              </w:rPr>
              <w:t>中药制剂技术</w:t>
            </w:r>
            <w:r>
              <w:rPr>
                <w:rFonts w:hint="eastAsia" w:ascii="宋体" w:hAnsi="宋体" w:eastAsia="宋体" w:cs="Times New Roman"/>
                <w:snapToGrid w:val="0"/>
                <w:kern w:val="0"/>
                <w:sz w:val="24"/>
                <w:szCs w:val="24"/>
              </w:rPr>
              <w:t>、复方两面针含片工艺改进技术、培养基用有机酵母及其浸出物制备工艺技术等。</w:t>
            </w:r>
          </w:p>
          <w:p>
            <w:pPr>
              <w:spacing w:line="500" w:lineRule="exact"/>
              <w:ind w:firstLine="482" w:firstLineChars="200"/>
              <w:rPr>
                <w:rFonts w:ascii="仿宋_GB2312" w:hAnsi="Times New Roman" w:eastAsia="仿宋_GB2312" w:cs="Times New Roman"/>
                <w:snapToGrid w:val="0"/>
                <w:kern w:val="0"/>
                <w:sz w:val="30"/>
                <w:szCs w:val="30"/>
              </w:rPr>
            </w:pPr>
            <w:r>
              <w:rPr>
                <w:rFonts w:hint="eastAsia" w:ascii="宋体" w:hAnsi="宋体" w:eastAsia="宋体" w:cs="Times New Roman"/>
                <w:b/>
                <w:snapToGrid w:val="0"/>
                <w:kern w:val="0"/>
                <w:sz w:val="24"/>
                <w:szCs w:val="24"/>
              </w:rPr>
              <w:t>重点推进项目：</w:t>
            </w:r>
            <w:r>
              <w:rPr>
                <w:rFonts w:hint="eastAsia" w:ascii="宋体" w:hAnsi="宋体" w:eastAsia="宋体" w:cs="Times New Roman"/>
                <w:snapToGrid w:val="0"/>
                <w:kern w:val="0"/>
                <w:sz w:val="24"/>
                <w:szCs w:val="24"/>
              </w:rPr>
              <w:t>金嗓子洛维生产基地建设项目、花红药业消肿止痛酊生产线建设项目、安琪酵母年产15000吨酵母抽提质量安全保障能力升级改造项目、仙草堂青蒿素GMP技改项目、圣特药业年产1800吨保健产品技术改造项目等。</w:t>
            </w:r>
          </w:p>
        </w:tc>
      </w:tr>
    </w:tbl>
    <w:p>
      <w:pPr>
        <w:pStyle w:val="2"/>
        <w:widowControl w:val="0"/>
        <w:adjustRightInd/>
        <w:snapToGrid/>
        <w:spacing w:line="560" w:lineRule="exact"/>
        <w:ind w:firstLine="641" w:firstLineChars="200"/>
        <w:jc w:val="both"/>
        <w:rPr>
          <w:rFonts w:ascii="华文中宋" w:hAnsi="华文中宋" w:eastAsia="华文中宋"/>
          <w:sz w:val="32"/>
          <w:szCs w:val="32"/>
        </w:rPr>
      </w:pPr>
      <w:bookmarkStart w:id="45" w:name="_Toc507683720"/>
      <w:bookmarkStart w:id="46" w:name="_Toc499407410"/>
      <w:r>
        <w:rPr>
          <w:rFonts w:hint="eastAsia" w:ascii="华文中宋" w:hAnsi="华文中宋" w:eastAsia="华文中宋"/>
          <w:sz w:val="32"/>
          <w:szCs w:val="32"/>
        </w:rPr>
        <w:t>三、加快发展生产性服务业</w:t>
      </w:r>
      <w:bookmarkEnd w:id="45"/>
    </w:p>
    <w:p>
      <w:pPr>
        <w:spacing w:before="340"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推动制造业由生产型向生产服务型转变，积极发展面向制造业的工业物流、电子商务、研发设计服务和产品后市场服务，促进先进制造业与现代服务业融合发展。</w:t>
      </w:r>
    </w:p>
    <w:p>
      <w:pPr>
        <w:pStyle w:val="2"/>
        <w:spacing w:before="240" w:after="240" w:line="560" w:lineRule="exact"/>
        <w:ind w:firstLine="630" w:firstLineChars="196"/>
        <w:jc w:val="both"/>
        <w:rPr>
          <w:rFonts w:ascii="宋体" w:hAnsi="宋体" w:eastAsia="宋体"/>
          <w:sz w:val="32"/>
          <w:szCs w:val="32"/>
        </w:rPr>
      </w:pPr>
      <w:bookmarkStart w:id="47" w:name="_Toc507683721"/>
      <w:r>
        <w:rPr>
          <w:rFonts w:hint="eastAsia" w:ascii="宋体" w:hAnsi="宋体" w:eastAsia="宋体"/>
          <w:sz w:val="32"/>
          <w:szCs w:val="32"/>
        </w:rPr>
        <w:t>（一）工业物流</w:t>
      </w:r>
      <w:bookmarkEnd w:id="47"/>
    </w:p>
    <w:p>
      <w:pPr>
        <w:spacing w:line="560" w:lineRule="exact"/>
        <w:ind w:firstLine="600" w:firstLineChars="200"/>
      </w:pPr>
      <w:r>
        <w:rPr>
          <w:rFonts w:hint="eastAsia" w:ascii="仿宋_GB2312" w:hAnsi="Times New Roman" w:eastAsia="仿宋_GB2312" w:cs="Times New Roman"/>
          <w:snapToGrid w:val="0"/>
          <w:kern w:val="0"/>
          <w:sz w:val="30"/>
          <w:szCs w:val="30"/>
        </w:rPr>
        <w:t>加快发展</w:t>
      </w:r>
      <w:r>
        <w:rPr>
          <w:rFonts w:ascii="仿宋_GB2312" w:hAnsi="Times New Roman" w:eastAsia="仿宋_GB2312" w:cs="Times New Roman"/>
          <w:snapToGrid w:val="0"/>
          <w:kern w:val="0"/>
          <w:sz w:val="30"/>
          <w:szCs w:val="30"/>
        </w:rPr>
        <w:t>大型产业物流集聚区,</w:t>
      </w:r>
      <w:r>
        <w:rPr>
          <w:rFonts w:hint="eastAsia" w:ascii="仿宋_GB2312" w:hAnsi="Times New Roman" w:eastAsia="仿宋_GB2312" w:cs="Times New Roman"/>
          <w:snapToGrid w:val="0"/>
          <w:kern w:val="0"/>
          <w:sz w:val="30"/>
          <w:szCs w:val="30"/>
        </w:rPr>
        <w:t>重点</w:t>
      </w:r>
      <w:r>
        <w:rPr>
          <w:rFonts w:ascii="仿宋_GB2312" w:hAnsi="Times New Roman" w:eastAsia="仿宋_GB2312" w:cs="Times New Roman"/>
          <w:snapToGrid w:val="0"/>
          <w:kern w:val="0"/>
          <w:sz w:val="30"/>
          <w:szCs w:val="30"/>
        </w:rPr>
        <w:t>建设</w:t>
      </w:r>
      <w:r>
        <w:rPr>
          <w:rFonts w:hint="eastAsia" w:ascii="仿宋_GB2312" w:hAnsi="Times New Roman" w:eastAsia="仿宋_GB2312" w:cs="Times New Roman"/>
          <w:snapToGrid w:val="0"/>
          <w:kern w:val="0"/>
          <w:sz w:val="30"/>
          <w:szCs w:val="30"/>
        </w:rPr>
        <w:t>汽车、</w:t>
      </w:r>
      <w:r>
        <w:rPr>
          <w:rFonts w:ascii="仿宋_GB2312" w:hAnsi="Times New Roman" w:eastAsia="仿宋_GB2312" w:cs="Times New Roman"/>
          <w:snapToGrid w:val="0"/>
          <w:kern w:val="0"/>
          <w:sz w:val="30"/>
          <w:szCs w:val="30"/>
        </w:rPr>
        <w:t>钢铁</w:t>
      </w:r>
      <w:r>
        <w:rPr>
          <w:rFonts w:hint="eastAsia" w:ascii="仿宋_GB2312" w:hAnsi="Times New Roman" w:eastAsia="仿宋_GB2312" w:cs="Times New Roman"/>
          <w:snapToGrid w:val="0"/>
          <w:kern w:val="0"/>
          <w:sz w:val="30"/>
          <w:szCs w:val="30"/>
        </w:rPr>
        <w:t>、机械、化工、医药等专业</w:t>
      </w:r>
      <w:r>
        <w:rPr>
          <w:rFonts w:ascii="仿宋_GB2312" w:hAnsi="Times New Roman" w:eastAsia="仿宋_GB2312" w:cs="Times New Roman"/>
          <w:snapToGrid w:val="0"/>
          <w:kern w:val="0"/>
          <w:sz w:val="30"/>
          <w:szCs w:val="30"/>
        </w:rPr>
        <w:t>物流</w:t>
      </w:r>
      <w:r>
        <w:rPr>
          <w:rFonts w:hint="eastAsia" w:ascii="仿宋_GB2312" w:hAnsi="Times New Roman" w:eastAsia="仿宋_GB2312" w:cs="Times New Roman"/>
          <w:snapToGrid w:val="0"/>
          <w:kern w:val="0"/>
          <w:sz w:val="30"/>
          <w:szCs w:val="30"/>
        </w:rPr>
        <w:t>园。</w:t>
      </w:r>
      <w:r>
        <w:rPr>
          <w:rFonts w:ascii="仿宋_GB2312" w:hAnsi="Times New Roman" w:eastAsia="仿宋_GB2312" w:cs="Times New Roman"/>
          <w:snapToGrid w:val="0"/>
          <w:kern w:val="0"/>
          <w:sz w:val="30"/>
          <w:szCs w:val="30"/>
        </w:rPr>
        <w:t>大力发展</w:t>
      </w:r>
      <w:r>
        <w:rPr>
          <w:rFonts w:hint="eastAsia" w:ascii="仿宋_GB2312" w:hAnsi="Times New Roman" w:eastAsia="仿宋_GB2312" w:cs="Times New Roman"/>
          <w:snapToGrid w:val="0"/>
          <w:kern w:val="0"/>
          <w:sz w:val="30"/>
          <w:szCs w:val="30"/>
        </w:rPr>
        <w:t>第三方物流和大型专业化物流企业，打造本土第三方物流龙头企业。</w:t>
      </w:r>
    </w:p>
    <w:p>
      <w:pPr>
        <w:pStyle w:val="2"/>
        <w:spacing w:before="240" w:after="240" w:line="560" w:lineRule="exact"/>
        <w:ind w:firstLine="630" w:firstLineChars="196"/>
        <w:jc w:val="both"/>
        <w:rPr>
          <w:rFonts w:ascii="宋体" w:hAnsi="宋体" w:eastAsia="宋体"/>
          <w:sz w:val="32"/>
          <w:szCs w:val="32"/>
        </w:rPr>
      </w:pPr>
      <w:bookmarkStart w:id="48" w:name="_Toc507683722"/>
      <w:r>
        <w:rPr>
          <w:rFonts w:hint="eastAsia" w:ascii="宋体" w:hAnsi="宋体" w:eastAsia="宋体"/>
          <w:sz w:val="32"/>
          <w:szCs w:val="32"/>
        </w:rPr>
        <w:t>（二）电子商务</w:t>
      </w:r>
      <w:bookmarkEnd w:id="4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深化大中型企业电子商务应用，促进大宗原材料网上交易、工业产品网上定制、上下游关联企业业务协同发展。</w:t>
      </w:r>
      <w:r>
        <w:rPr>
          <w:rFonts w:ascii="仿宋_GB2312" w:hAnsi="Times New Roman" w:eastAsia="仿宋_GB2312" w:cs="Times New Roman"/>
          <w:snapToGrid w:val="0"/>
          <w:kern w:val="0"/>
          <w:sz w:val="30"/>
          <w:szCs w:val="30"/>
        </w:rPr>
        <w:t>推进</w:t>
      </w:r>
      <w:r>
        <w:rPr>
          <w:rFonts w:hint="eastAsia" w:ascii="仿宋_GB2312" w:hAnsi="Times New Roman" w:eastAsia="仿宋_GB2312" w:cs="Times New Roman"/>
          <w:snapToGrid w:val="0"/>
          <w:kern w:val="0"/>
          <w:sz w:val="30"/>
          <w:szCs w:val="30"/>
        </w:rPr>
        <w:t>柳州钢铁</w:t>
      </w:r>
      <w:r>
        <w:rPr>
          <w:rFonts w:ascii="仿宋_GB2312" w:hAnsi="Times New Roman" w:eastAsia="仿宋_GB2312" w:cs="Times New Roman"/>
          <w:snapToGrid w:val="0"/>
          <w:kern w:val="0"/>
          <w:sz w:val="30"/>
          <w:szCs w:val="30"/>
        </w:rPr>
        <w:t>电子商务平台建设，</w:t>
      </w:r>
      <w:r>
        <w:rPr>
          <w:rFonts w:hint="eastAsia" w:ascii="仿宋_GB2312" w:hAnsi="Times New Roman" w:eastAsia="仿宋_GB2312" w:cs="Times New Roman"/>
          <w:snapToGrid w:val="0"/>
          <w:kern w:val="0"/>
          <w:sz w:val="30"/>
          <w:szCs w:val="30"/>
        </w:rPr>
        <w:t>打造面向</w:t>
      </w:r>
      <w:r>
        <w:rPr>
          <w:rFonts w:ascii="仿宋_GB2312" w:hAnsi="Times New Roman" w:eastAsia="仿宋_GB2312" w:cs="Times New Roman"/>
          <w:snapToGrid w:val="0"/>
          <w:kern w:val="0"/>
          <w:sz w:val="30"/>
          <w:szCs w:val="30"/>
        </w:rPr>
        <w:t>中南</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西南</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东盟等地区</w:t>
      </w:r>
      <w:r>
        <w:rPr>
          <w:rFonts w:hint="eastAsia" w:ascii="仿宋_GB2312" w:hAnsi="Times New Roman" w:eastAsia="仿宋_GB2312" w:cs="Times New Roman"/>
          <w:snapToGrid w:val="0"/>
          <w:kern w:val="0"/>
          <w:sz w:val="30"/>
          <w:szCs w:val="30"/>
        </w:rPr>
        <w:t>钢材现货网上交易中心。引导小微企业依托第三方电商服务平台开展业务，建立广西柳州汽车城网上“汽车零部件交易平台”。</w:t>
      </w:r>
    </w:p>
    <w:p>
      <w:pPr>
        <w:pStyle w:val="2"/>
        <w:widowControl w:val="0"/>
        <w:adjustRightInd/>
        <w:snapToGrid/>
        <w:spacing w:before="240" w:after="240" w:line="560" w:lineRule="exact"/>
        <w:ind w:firstLine="643" w:firstLineChars="200"/>
        <w:jc w:val="both"/>
        <w:rPr>
          <w:rFonts w:ascii="宋体" w:hAnsi="宋体" w:eastAsia="宋体"/>
          <w:sz w:val="32"/>
          <w:szCs w:val="32"/>
        </w:rPr>
      </w:pPr>
      <w:bookmarkStart w:id="49" w:name="_Toc507683723"/>
      <w:r>
        <w:rPr>
          <w:rFonts w:hint="eastAsia" w:ascii="宋体" w:hAnsi="宋体" w:eastAsia="宋体"/>
          <w:sz w:val="32"/>
          <w:szCs w:val="32"/>
        </w:rPr>
        <w:t>（三）研发设计服务</w:t>
      </w:r>
      <w:bookmarkEnd w:id="4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围绕主导产业、关键技术和基础领域，依托重点企业和科研院所，大力培育一批国家级、自治区级研发平台，大力发展汽车、机械、化工、医药等产业公共技术研发、检测服务平台。</w:t>
      </w:r>
    </w:p>
    <w:p>
      <w:pPr>
        <w:pStyle w:val="2"/>
        <w:spacing w:before="240" w:after="240" w:line="560" w:lineRule="exact"/>
        <w:ind w:firstLine="630" w:firstLineChars="196"/>
        <w:jc w:val="both"/>
        <w:rPr>
          <w:rFonts w:ascii="宋体" w:hAnsi="宋体" w:eastAsia="宋体"/>
          <w:sz w:val="32"/>
          <w:szCs w:val="32"/>
        </w:rPr>
      </w:pPr>
      <w:bookmarkStart w:id="50" w:name="_Toc507683724"/>
      <w:r>
        <w:rPr>
          <w:rFonts w:hint="eastAsia" w:ascii="宋体" w:hAnsi="宋体" w:eastAsia="宋体"/>
          <w:sz w:val="32"/>
          <w:szCs w:val="32"/>
        </w:rPr>
        <w:t>（四）产品后市场服务</w:t>
      </w:r>
      <w:bookmarkEnd w:id="50"/>
    </w:p>
    <w:p>
      <w:pPr>
        <w:spacing w:line="560" w:lineRule="exact"/>
        <w:ind w:firstLine="600" w:firstLineChars="200"/>
      </w:pPr>
      <w:r>
        <w:rPr>
          <w:rFonts w:hint="eastAsia" w:ascii="仿宋_GB2312" w:hAnsi="Times New Roman" w:eastAsia="仿宋_GB2312" w:cs="Times New Roman"/>
          <w:snapToGrid w:val="0"/>
          <w:kern w:val="0"/>
          <w:sz w:val="30"/>
          <w:szCs w:val="30"/>
        </w:rPr>
        <w:t>引导鼓励企业开拓产品后市场，延伸产业链，促进产品发展和服务增值有机结合，提高企业规模和效益。重点发展汽车、工程机械贸易服务、融资租赁服务及零部件再制造业务，桥梁用锚具、缆索及配套橡胶制品检测、加固、维护。</w:t>
      </w:r>
    </w:p>
    <w:tbl>
      <w:tblPr>
        <w:tblStyle w:val="30"/>
        <w:tblpPr w:leftFromText="180" w:rightFromText="180" w:vertAnchor="text" w:horzAnchor="margin" w:tblpXSpec="center" w:tblpY="313"/>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0" w:hRule="atLeast"/>
        </w:trPr>
        <w:tc>
          <w:tcPr>
            <w:tcW w:w="8698" w:type="dxa"/>
            <w:tcBorders>
              <w:top w:val="single" w:color="auto" w:sz="4" w:space="0"/>
              <w:left w:val="single" w:color="auto" w:sz="4" w:space="0"/>
              <w:bottom w:val="single" w:color="auto" w:sz="4" w:space="0"/>
              <w:right w:val="single" w:color="auto" w:sz="4" w:space="0"/>
            </w:tcBorders>
          </w:tcPr>
          <w:p>
            <w:pPr>
              <w:spacing w:after="240" w:line="500" w:lineRule="exact"/>
              <w:jc w:val="center"/>
              <w:rPr>
                <w:rFonts w:ascii="宋体" w:hAnsi="宋体" w:eastAsia="宋体" w:cs="Times New Roman"/>
                <w:b/>
                <w:bCs/>
                <w:snapToGrid w:val="0"/>
                <w:kern w:val="0"/>
                <w:sz w:val="28"/>
                <w:szCs w:val="28"/>
              </w:rPr>
            </w:pPr>
            <w:r>
              <w:rPr>
                <w:rFonts w:ascii="宋体" w:hAnsi="宋体" w:eastAsia="宋体" w:cs="Times New Roman"/>
                <w:b/>
                <w:bCs/>
                <w:snapToGrid w:val="0"/>
                <w:kern w:val="0"/>
                <w:sz w:val="28"/>
                <w:szCs w:val="28"/>
              </w:rPr>
              <w:t>专栏</w:t>
            </w:r>
            <w:r>
              <w:rPr>
                <w:rFonts w:hint="eastAsia" w:ascii="宋体" w:hAnsi="宋体" w:eastAsia="宋体" w:cs="Times New Roman"/>
                <w:b/>
                <w:bCs/>
                <w:snapToGrid w:val="0"/>
                <w:kern w:val="0"/>
                <w:sz w:val="28"/>
                <w:szCs w:val="28"/>
              </w:rPr>
              <w:t>11  生产性服务业重点推进项目</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工业物流：</w:t>
            </w:r>
            <w:r>
              <w:rPr>
                <w:rFonts w:hint="eastAsia" w:ascii="宋体" w:hAnsi="宋体" w:eastAsia="宋体" w:cs="Times New Roman"/>
                <w:snapToGrid w:val="0"/>
                <w:kern w:val="0"/>
                <w:sz w:val="24"/>
                <w:szCs w:val="24"/>
              </w:rPr>
              <w:t>重点推进柳州传化公路港建设、食品冷链物流园、融水水东竹木物流园区等项目。</w:t>
            </w:r>
          </w:p>
          <w:p>
            <w:pPr>
              <w:spacing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电子商务：</w:t>
            </w:r>
            <w:r>
              <w:rPr>
                <w:rFonts w:hint="eastAsia" w:ascii="宋体" w:hAnsi="宋体" w:eastAsia="宋体" w:cs="Times New Roman"/>
                <w:snapToGrid w:val="0"/>
                <w:kern w:val="0"/>
                <w:sz w:val="24"/>
                <w:szCs w:val="24"/>
              </w:rPr>
              <w:t>重点推进东风柳汽基于互联网+的车辆增值服务平台、柳钢电商平台建设等项目。</w:t>
            </w:r>
          </w:p>
          <w:p>
            <w:pPr>
              <w:spacing w:line="500" w:lineRule="exact"/>
              <w:ind w:firstLine="482" w:firstLineChars="200"/>
              <w:rPr>
                <w:rFonts w:ascii="宋体" w:hAnsi="宋体" w:eastAsia="宋体" w:cs="Times New Roman"/>
                <w:b/>
                <w:snapToGrid w:val="0"/>
                <w:kern w:val="0"/>
                <w:sz w:val="24"/>
                <w:szCs w:val="24"/>
              </w:rPr>
            </w:pPr>
            <w:r>
              <w:rPr>
                <w:rFonts w:hint="eastAsia" w:ascii="宋体" w:hAnsi="宋体" w:eastAsia="宋体" w:cs="Times New Roman"/>
                <w:b/>
                <w:snapToGrid w:val="0"/>
                <w:kern w:val="0"/>
                <w:sz w:val="24"/>
                <w:szCs w:val="24"/>
              </w:rPr>
              <w:t>研发设计服务：</w:t>
            </w:r>
            <w:r>
              <w:rPr>
                <w:rFonts w:hint="eastAsia" w:ascii="宋体" w:hAnsi="宋体" w:eastAsia="宋体" w:cs="Times New Roman"/>
                <w:snapToGrid w:val="0"/>
                <w:kern w:val="0"/>
                <w:sz w:val="24"/>
                <w:szCs w:val="24"/>
              </w:rPr>
              <w:t>重点推进广西汽车公共服务平台建设、中小企业云服务平台建设、清华大学苏州汽车研究院智能制造技术研发转移中心等项目。</w:t>
            </w:r>
          </w:p>
          <w:p>
            <w:pPr>
              <w:spacing w:after="240" w:line="500" w:lineRule="exact"/>
              <w:ind w:firstLine="482" w:firstLineChars="200"/>
              <w:rPr>
                <w:rFonts w:ascii="宋体" w:hAnsi="宋体" w:eastAsia="宋体" w:cs="Times New Roman"/>
                <w:snapToGrid w:val="0"/>
                <w:kern w:val="0"/>
                <w:sz w:val="24"/>
                <w:szCs w:val="24"/>
              </w:rPr>
            </w:pPr>
            <w:r>
              <w:rPr>
                <w:rFonts w:hint="eastAsia" w:ascii="宋体" w:hAnsi="宋体" w:eastAsia="宋体" w:cs="Times New Roman"/>
                <w:b/>
                <w:snapToGrid w:val="0"/>
                <w:kern w:val="0"/>
                <w:sz w:val="24"/>
                <w:szCs w:val="24"/>
              </w:rPr>
              <w:t>产品后市场服务：</w:t>
            </w:r>
            <w:r>
              <w:rPr>
                <w:rFonts w:hint="eastAsia" w:ascii="宋体" w:hAnsi="宋体" w:eastAsia="宋体" w:cs="Times New Roman"/>
                <w:snapToGrid w:val="0"/>
                <w:kern w:val="0"/>
                <w:sz w:val="24"/>
                <w:szCs w:val="24"/>
              </w:rPr>
              <w:t>重点推进工业品交易市场、广西汽车集团汽车后市场新业务拓展项目、金融领域新业务拓展等项目。</w:t>
            </w:r>
          </w:p>
        </w:tc>
      </w:tr>
    </w:tbl>
    <w:p>
      <w:pPr>
        <w:pStyle w:val="2"/>
        <w:widowControl w:val="0"/>
        <w:adjustRightInd/>
        <w:snapToGrid/>
        <w:spacing w:before="240" w:after="240"/>
        <w:rPr>
          <w:rFonts w:cs="宋体" w:asciiTheme="minorHAnsi" w:hAnsiTheme="minorHAnsi" w:eastAsiaTheme="minorHAnsi"/>
          <w:color w:val="222222"/>
          <w:kern w:val="0"/>
          <w:sz w:val="30"/>
          <w:szCs w:val="30"/>
        </w:rPr>
      </w:pPr>
      <w:bookmarkStart w:id="51" w:name="_Toc507683725"/>
      <w:r>
        <w:rPr>
          <w:rFonts w:hint="eastAsia" w:ascii="华文中宋" w:hAnsi="华文中宋" w:eastAsia="华文中宋"/>
          <w:szCs w:val="36"/>
        </w:rPr>
        <w:t>第四章 产业空间布局</w:t>
      </w:r>
      <w:bookmarkEnd w:id="46"/>
      <w:bookmarkEnd w:id="51"/>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遵循“集群发展、垂直整合”的思路，依托现有工业园区，推进建设战略性新兴产业示范基地，将柳东新区、北部生态新区打造成为战略性新兴产业核心集聚区，沿城市外环路以阳和、柳北、柳南、鱼峰和柳江工业园区为重点布局战略性新兴产业环形发展带，在鹿寨、柳城、融安、融水、三江促进战略性新兴产业点状发展，引导战略性新兴产业形成“双核带动，一环多点”空间布局。</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“双核一环多点”战略性新兴产业空间布局：</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“双核”：集中优势资源，实施重点突破，全力推进建设柳东新区和北部生态新区两个战略性新兴产业核心集聚区。</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“一环”：以城市外环路为连接通道，依托阳和、柳北、柳南、鱼峰和柳江工业园区，突出特色，差异化发展，建设战略性新兴产业环形发展带。</w:t>
      </w:r>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“多点”：依托资源优势，在鹿寨、柳城、融安、融水、三江推动战略性新兴产业点状发展。</w:t>
      </w:r>
    </w:p>
    <w:p>
      <w:pPr>
        <w:pStyle w:val="3"/>
      </w:pPr>
      <w:bookmarkStart w:id="52" w:name="_Toc507683726"/>
      <w:r>
        <w:rPr>
          <w:rFonts w:hint="eastAsia"/>
        </w:rPr>
        <w:t>一、打造产业核心集聚区</w:t>
      </w:r>
      <w:bookmarkEnd w:id="52"/>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柳东新区：</w:t>
      </w:r>
      <w:r>
        <w:rPr>
          <w:rFonts w:hint="eastAsia" w:ascii="仿宋_GB2312" w:hAnsi="Times New Roman" w:eastAsia="仿宋_GB2312" w:cs="Times New Roman"/>
          <w:snapToGrid w:val="0"/>
          <w:kern w:val="0"/>
          <w:sz w:val="30"/>
          <w:szCs w:val="30"/>
        </w:rPr>
        <w:t>重点发展新能源汽车、轨道交通、电子信息产业。依托上汽通用五菱汽车股份有限公司、东风柳州汽车有限公司，加快推进新能源汽车产业化，形成规模生产。积极发展电池、电机、电控等新能源汽车关键零部件。利用柳州轨道交通建设机遇，大力推进智能交通产业园建设，加快发展跨座式单轨车辆及转向架、牵引电机、制动系统等关键零部件。结合汽车产业升级换代，积极发展动力控制、行驶控制等汽车电子产品。重点布建新能源汽车产业示范基地、智能交通产业园、汽车电子产业园。</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北部生态新区：</w:t>
      </w:r>
      <w:r>
        <w:rPr>
          <w:rFonts w:hint="eastAsia" w:ascii="仿宋_GB2312" w:hAnsi="Times New Roman" w:eastAsia="仿宋_GB2312" w:cs="Times New Roman"/>
          <w:snapToGrid w:val="0"/>
          <w:kern w:val="0"/>
          <w:sz w:val="30"/>
          <w:szCs w:val="30"/>
        </w:rPr>
        <w:t>重点发展智能电网、智能装备产业。利用广西智能制造城建设的有利机遇，积极推进智能电网关键设备研发、制造，重点发展工业机器人、3D打印、智能仪器仪表、智能关键部件，加快发展智能传感与控制装备、智能检测与装配装备、智能物流与仓储装备。重点布建智能电网产业园。</w:t>
      </w:r>
    </w:p>
    <w:p>
      <w:pPr>
        <w:pStyle w:val="3"/>
      </w:pPr>
      <w:bookmarkStart w:id="53" w:name="_Toc507683727"/>
      <w:r>
        <w:rPr>
          <w:rFonts w:hint="eastAsia"/>
        </w:rPr>
        <w:t>二、建设产业环形发展带</w:t>
      </w:r>
      <w:bookmarkEnd w:id="53"/>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阳和工业新区：</w:t>
      </w:r>
      <w:r>
        <w:rPr>
          <w:rFonts w:hint="eastAsia" w:ascii="仿宋_GB2312" w:hAnsi="Times New Roman" w:eastAsia="仿宋_GB2312" w:cs="Times New Roman"/>
          <w:snapToGrid w:val="0"/>
          <w:kern w:val="0"/>
          <w:sz w:val="30"/>
          <w:szCs w:val="30"/>
        </w:rPr>
        <w:t>重点发展新材料产业。依托广西柳州银海铝业股份有限公司积极发展高性能铝材产品，延伸铝深加工产业链，推动汽车、机械产业轻量化发展。利用晶联光电公司ITO靶材产业化技术，加快发展ITO靶材系列产品。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柳北工业园区：</w:t>
      </w:r>
      <w:r>
        <w:rPr>
          <w:rFonts w:hint="eastAsia" w:ascii="仿宋_GB2312" w:hAnsi="Times New Roman" w:eastAsia="仿宋_GB2312" w:cs="Times New Roman"/>
          <w:snapToGrid w:val="0"/>
          <w:kern w:val="0"/>
          <w:sz w:val="30"/>
          <w:szCs w:val="30"/>
        </w:rPr>
        <w:t>重点发展装配式建筑、节能环保产业。加快发展钢结构部件、预制混凝土构件等装配式建筑材料。利用柳钢、柳化、电厂等企业产生的废气，开发余热发电、供热。利用矿渣、钢渣、炉渣生产耐火、隔热、隔音新型建筑材料。重点布建装配式建筑产业园，循环经济示范基地。</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柳南工业园区：</w:t>
      </w:r>
      <w:r>
        <w:rPr>
          <w:rFonts w:hint="eastAsia" w:ascii="仿宋_GB2312" w:hAnsi="Times New Roman" w:eastAsia="仿宋_GB2312" w:cs="Times New Roman"/>
          <w:snapToGrid w:val="0"/>
          <w:kern w:val="0"/>
          <w:sz w:val="30"/>
          <w:szCs w:val="30"/>
        </w:rPr>
        <w:t>重点发展高端装备制造业。依托邻近广西柳工机械股份有限公司、上汽通用五菱汽车股份有限公司的位置优势，加快发展工业机器人、智能专用装备产品，积极推进智能装备在工程机械、汽车等领域集成应用。</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鱼峰工业园：</w:t>
      </w:r>
      <w:r>
        <w:rPr>
          <w:rFonts w:hint="eastAsia" w:ascii="仿宋_GB2312" w:hAnsi="Times New Roman" w:eastAsia="仿宋_GB2312" w:cs="Times New Roman"/>
          <w:snapToGrid w:val="0"/>
          <w:kern w:val="0"/>
          <w:sz w:val="30"/>
          <w:szCs w:val="30"/>
        </w:rPr>
        <w:t>重点发展大健康产业。积极发展健康</w:t>
      </w:r>
      <w:r>
        <w:fldChar w:fldCharType="begin"/>
      </w:r>
      <w:r>
        <w:instrText xml:space="preserve"> HYPERLINK "http://www.ocn.com.cn/reports/1467shipin.shtml" \t "http://www.ocn.com.cn/chanye/201612/_blank" </w:instrText>
      </w:r>
      <w:r>
        <w:fldChar w:fldCharType="separate"/>
      </w:r>
      <w:r>
        <w:rPr>
          <w:rFonts w:hint="eastAsia" w:ascii="仿宋_GB2312" w:hAnsi="Times New Roman" w:eastAsia="仿宋_GB2312" w:cs="Times New Roman"/>
          <w:snapToGrid w:val="0"/>
          <w:kern w:val="0"/>
          <w:sz w:val="30"/>
          <w:szCs w:val="30"/>
        </w:rPr>
        <w:t>食品</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、健康医药、健康服务、健康养老、体育健身产品。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柳江工业园：</w:t>
      </w:r>
      <w:r>
        <w:rPr>
          <w:rFonts w:hint="eastAsia" w:ascii="仿宋_GB2312" w:hAnsi="Times New Roman" w:eastAsia="仿宋_GB2312" w:cs="Times New Roman"/>
          <w:snapToGrid w:val="0"/>
          <w:kern w:val="0"/>
          <w:sz w:val="30"/>
          <w:szCs w:val="30"/>
        </w:rPr>
        <w:t>重点发展高端装备制造业。积极发展低能耗、低排放、高性能的柴油发动机、汽油发动机，加快发展工程机械、汽车关键零部件。</w:t>
      </w:r>
    </w:p>
    <w:p>
      <w:pPr>
        <w:pStyle w:val="3"/>
      </w:pPr>
      <w:bookmarkStart w:id="54" w:name="_Toc507683728"/>
      <w:r>
        <w:rPr>
          <w:rFonts w:hint="eastAsia"/>
        </w:rPr>
        <w:t>三、推动产业点状发展</w:t>
      </w:r>
      <w:bookmarkEnd w:id="54"/>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鹿寨工业园：</w:t>
      </w:r>
      <w:r>
        <w:rPr>
          <w:rFonts w:hint="eastAsia" w:ascii="仿宋_GB2312" w:hAnsi="Times New Roman" w:eastAsia="仿宋_GB2312" w:cs="Times New Roman"/>
          <w:snapToGrid w:val="0"/>
          <w:kern w:val="0"/>
          <w:sz w:val="30"/>
          <w:szCs w:val="30"/>
        </w:rPr>
        <w:t>重点发展新材料、节能环保产业。加大研发投入，推进产学研联合研发，突破关键技术，积极发展珠光颜色材料和石墨稀材料产品，加快发展热电联产节能环保循环经济。</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柳城工业园：</w:t>
      </w:r>
      <w:r>
        <w:rPr>
          <w:rFonts w:hint="eastAsia" w:ascii="仿宋_GB2312" w:hAnsi="Times New Roman" w:eastAsia="仿宋_GB2312" w:cs="Times New Roman"/>
          <w:snapToGrid w:val="0"/>
          <w:kern w:val="0"/>
          <w:sz w:val="30"/>
          <w:szCs w:val="30"/>
        </w:rPr>
        <w:t>重点发展生物与制药产业。加快壮药研发生产，发展酵母生物产品。</w:t>
      </w:r>
    </w:p>
    <w:p>
      <w:pPr>
        <w:spacing w:line="560" w:lineRule="exact"/>
        <w:ind w:firstLine="602"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b/>
          <w:snapToGrid w:val="0"/>
          <w:kern w:val="0"/>
          <w:sz w:val="30"/>
          <w:szCs w:val="30"/>
        </w:rPr>
        <w:t>融安、融水、三江</w:t>
      </w:r>
      <w:r>
        <w:rPr>
          <w:rFonts w:hint="eastAsia" w:ascii="仿宋_GB2312" w:hAnsi="Times New Roman" w:eastAsia="仿宋_GB2312" w:cs="Times New Roman"/>
          <w:snapToGrid w:val="0"/>
          <w:kern w:val="0"/>
          <w:sz w:val="30"/>
          <w:szCs w:val="30"/>
        </w:rPr>
        <w:t>利用丰富的风力资源，大力发展风力发电绿色环保新能源。</w:t>
      </w:r>
    </w:p>
    <w:p>
      <w:pPr>
        <w:spacing w:line="560" w:lineRule="exact"/>
        <w:ind w:firstLine="600" w:firstLineChars="200"/>
        <w:rPr>
          <w:rFonts w:ascii="仿宋_GB2312" w:hAnsi="Times New Roman" w:eastAsia="仿宋_GB2312" w:cs="Times New Roman"/>
          <w:snapToGrid w:val="0"/>
          <w:kern w:val="0"/>
          <w:sz w:val="30"/>
          <w:szCs w:val="30"/>
        </w:rPr>
      </w:pPr>
    </w:p>
    <w:p>
      <w:pPr>
        <w:spacing w:line="560" w:lineRule="exact"/>
        <w:ind w:firstLine="600" w:firstLineChars="200"/>
        <w:rPr>
          <w:rFonts w:ascii="仿宋_GB2312" w:hAnsi="Times New Roman" w:eastAsia="仿宋_GB2312" w:cs="Times New Roman"/>
          <w:snapToGrid w:val="0"/>
          <w:kern w:val="0"/>
          <w:sz w:val="30"/>
          <w:szCs w:val="30"/>
        </w:rPr>
      </w:pPr>
    </w:p>
    <w:p>
      <w:pPr>
        <w:spacing w:line="560" w:lineRule="exact"/>
        <w:ind w:firstLine="600" w:firstLineChars="200"/>
        <w:rPr>
          <w:rFonts w:ascii="仿宋_GB2312" w:hAnsi="Times New Roman" w:eastAsia="仿宋_GB2312" w:cs="Times New Roman"/>
          <w:snapToGrid w:val="0"/>
          <w:kern w:val="0"/>
          <w:sz w:val="30"/>
          <w:szCs w:val="30"/>
        </w:rPr>
      </w:pPr>
    </w:p>
    <w:p>
      <w:pPr>
        <w:pStyle w:val="2"/>
        <w:widowControl w:val="0"/>
        <w:adjustRightInd/>
        <w:snapToGrid/>
        <w:spacing w:before="240" w:after="240"/>
        <w:rPr>
          <w:rFonts w:ascii="华文中宋" w:hAnsi="华文中宋" w:eastAsia="华文中宋"/>
          <w:szCs w:val="36"/>
        </w:rPr>
      </w:pPr>
      <w:bookmarkStart w:id="55" w:name="_Toc507683729"/>
      <w:r>
        <w:rPr>
          <w:rFonts w:hint="eastAsia" w:ascii="华文中宋" w:hAnsi="华文中宋" w:eastAsia="华文中宋"/>
          <w:szCs w:val="36"/>
        </w:rPr>
        <w:t>第五章 主要任务</w:t>
      </w:r>
      <w:bookmarkEnd w:id="5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围绕我市战略性新兴产业的基础和特点，以促进工业转型升级为主攻方向,实施智能制造引领、服务型制造突破、创新能力提升、重大项目建设、强优企业培育、产业集聚发展、开放合作深化、绿色制造实施、军民深度融合、高端人才培养等十大行动，</w:t>
      </w:r>
      <w:r>
        <w:rPr>
          <w:rFonts w:ascii="仿宋_GB2312" w:hAnsi="Times New Roman" w:eastAsia="仿宋_GB2312" w:cs="Times New Roman"/>
          <w:snapToGrid w:val="0"/>
          <w:kern w:val="0"/>
          <w:sz w:val="30"/>
          <w:szCs w:val="30"/>
        </w:rPr>
        <w:t>努力把战略性新兴产业培育成为我市</w:t>
      </w:r>
      <w:r>
        <w:rPr>
          <w:rFonts w:hint="eastAsia" w:ascii="仿宋_GB2312" w:hAnsi="Times New Roman" w:eastAsia="仿宋_GB2312" w:cs="Times New Roman"/>
          <w:snapToGrid w:val="0"/>
          <w:kern w:val="0"/>
          <w:sz w:val="30"/>
          <w:szCs w:val="30"/>
        </w:rPr>
        <w:t>工业</w:t>
      </w:r>
      <w:r>
        <w:rPr>
          <w:rFonts w:ascii="仿宋_GB2312" w:hAnsi="Times New Roman" w:eastAsia="仿宋_GB2312" w:cs="Times New Roman"/>
          <w:snapToGrid w:val="0"/>
          <w:kern w:val="0"/>
          <w:sz w:val="30"/>
          <w:szCs w:val="30"/>
        </w:rPr>
        <w:t>发展先导</w:t>
      </w:r>
      <w:r>
        <w:rPr>
          <w:rFonts w:hint="eastAsia" w:ascii="仿宋_GB2312" w:hAnsi="Times New Roman" w:eastAsia="仿宋_GB2312" w:cs="Times New Roman"/>
          <w:snapToGrid w:val="0"/>
          <w:kern w:val="0"/>
          <w:sz w:val="30"/>
          <w:szCs w:val="30"/>
        </w:rPr>
        <w:t>性</w:t>
      </w:r>
      <w:r>
        <w:rPr>
          <w:rFonts w:ascii="仿宋_GB2312" w:hAnsi="Times New Roman" w:eastAsia="仿宋_GB2312" w:cs="Times New Roman"/>
          <w:snapToGrid w:val="0"/>
          <w:kern w:val="0"/>
          <w:sz w:val="30"/>
          <w:szCs w:val="30"/>
        </w:rPr>
        <w:t>和支柱</w:t>
      </w:r>
      <w:r>
        <w:rPr>
          <w:rFonts w:hint="eastAsia" w:ascii="仿宋_GB2312" w:hAnsi="Times New Roman" w:eastAsia="仿宋_GB2312" w:cs="Times New Roman"/>
          <w:snapToGrid w:val="0"/>
          <w:kern w:val="0"/>
          <w:sz w:val="30"/>
          <w:szCs w:val="30"/>
        </w:rPr>
        <w:t>性</w:t>
      </w:r>
      <w:r>
        <w:rPr>
          <w:rFonts w:ascii="仿宋_GB2312" w:hAnsi="Times New Roman" w:eastAsia="仿宋_GB2312" w:cs="Times New Roman"/>
          <w:snapToGrid w:val="0"/>
          <w:kern w:val="0"/>
          <w:sz w:val="30"/>
          <w:szCs w:val="30"/>
        </w:rPr>
        <w:t>产业。</w:t>
      </w:r>
    </w:p>
    <w:p>
      <w:pPr>
        <w:pStyle w:val="3"/>
      </w:pPr>
      <w:bookmarkStart w:id="56" w:name="_Toc507683730"/>
      <w:r>
        <w:rPr>
          <w:rFonts w:hint="eastAsia"/>
        </w:rPr>
        <w:t>一、智能制造引领行动</w:t>
      </w:r>
      <w:bookmarkEnd w:id="5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智能制造是推进战略性新兴产业发展的主要</w:t>
      </w:r>
      <w:bookmarkStart w:id="57" w:name="baidusnap6"/>
      <w:bookmarkEnd w:id="57"/>
      <w:r>
        <w:rPr>
          <w:rFonts w:hint="eastAsia" w:ascii="仿宋_GB2312" w:hAnsi="Times New Roman" w:eastAsia="仿宋_GB2312" w:cs="Times New Roman"/>
          <w:snapToGrid w:val="0"/>
          <w:kern w:val="0"/>
          <w:sz w:val="30"/>
          <w:szCs w:val="30"/>
        </w:rPr>
        <w:t>手段。通过加快智能制造城建设、推进两化深度融合、实施“互联网＋”行动计划，加快推动我市高端装备制造业发展，切实提升重点战略性新兴产业领域的智能制造总体水平。</w:t>
      </w:r>
    </w:p>
    <w:p>
      <w:pPr>
        <w:pStyle w:val="4"/>
        <w:tabs>
          <w:tab w:val="left" w:pos="720"/>
        </w:tabs>
        <w:spacing w:before="120" w:after="120" w:line="240" w:lineRule="auto"/>
        <w:ind w:left="643"/>
        <w:rPr>
          <w:rFonts w:ascii="宋体" w:hAnsi="宋体" w:eastAsia="宋体" w:cs="Times New Roman"/>
          <w:color w:val="000000"/>
          <w:kern w:val="0"/>
          <w:lang w:val="zh-CN"/>
        </w:rPr>
      </w:pPr>
      <w:bookmarkStart w:id="58" w:name="_Toc507683731"/>
      <w:r>
        <w:rPr>
          <w:rFonts w:hint="eastAsia" w:ascii="宋体" w:hAnsi="宋体" w:eastAsia="宋体" w:cs="Times New Roman"/>
          <w:color w:val="000000"/>
          <w:kern w:val="0"/>
          <w:lang w:val="zh-CN"/>
        </w:rPr>
        <w:t>（一）加快</w:t>
      </w:r>
      <w:r>
        <w:rPr>
          <w:rFonts w:hint="eastAsia" w:ascii="宋体" w:hAnsi="宋体" w:eastAsia="宋体" w:cs="Times New Roman"/>
          <w:color w:val="000000"/>
          <w:kern w:val="0"/>
        </w:rPr>
        <w:t>广西</w:t>
      </w:r>
      <w:r>
        <w:rPr>
          <w:rFonts w:hint="eastAsia" w:ascii="宋体" w:hAnsi="宋体" w:eastAsia="宋体" w:cs="Times New Roman"/>
          <w:color w:val="000000"/>
          <w:kern w:val="0"/>
          <w:lang w:val="zh-CN"/>
        </w:rPr>
        <w:t>智能制造城建设</w:t>
      </w:r>
      <w:bookmarkEnd w:id="5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紧密围绕智能制造领域关键环节和核心技术，立足柳州市产业基础，通过政策引导，引进和培育一批拥有核心知识产权的关键零部件、装备主机和系统集成的智能制造企业和项目。力争在物联网、电控系统、伺服驱动系统、MENS传感器等为代表的产业关键领域实现突破。积极推进新一代信息技术在装备（产品）中的融合应用，推动关键技术装备、核心支撑软件研发和产业化，集成开发重大成套装备及系统，推进产业中高端化发展。促进产业要素向广西智能制造城聚集，将广西智能制造城打造成为国内有影响力的智能制造技术和关键重大装备研发、生产、应用聚集区，形成比较完整的关键智能装备产业链。</w:t>
      </w:r>
    </w:p>
    <w:p>
      <w:pPr>
        <w:pStyle w:val="4"/>
        <w:tabs>
          <w:tab w:val="left" w:pos="720"/>
        </w:tabs>
        <w:spacing w:before="120" w:after="120" w:line="240" w:lineRule="auto"/>
        <w:ind w:left="643"/>
        <w:rPr>
          <w:rFonts w:ascii="宋体" w:hAnsi="宋体" w:eastAsia="宋体" w:cs="Times New Roman"/>
          <w:color w:val="000000"/>
          <w:kern w:val="0"/>
          <w:lang w:val="zh-CN"/>
        </w:rPr>
      </w:pPr>
      <w:bookmarkStart w:id="59" w:name="_Toc507683732"/>
      <w:r>
        <w:rPr>
          <w:rFonts w:hint="eastAsia" w:ascii="宋体" w:hAnsi="宋体" w:eastAsia="宋体" w:cs="Times New Roman"/>
          <w:color w:val="000000"/>
          <w:kern w:val="0"/>
          <w:lang w:val="zh-CN"/>
        </w:rPr>
        <w:t>（二）推进两化深度融合</w:t>
      </w:r>
      <w:bookmarkEnd w:id="5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通过两化融合推进战略性新兴产业规模化和优势产业新兴化，形成战略性新兴产业加快发展和传统优势产业加快升级的良性互动格局。开展两化融合示范区、示范企业、示范项目创建工作，引导企业运用信息化手段加快提升制造业产品、装备，提高生产、管理、服务的智能化水平。大力实施智能工厂和数字化车间建设，选择战略性新兴产业重点领域，围绕推广普及智能制造单元--智能车间--智能制造系统--智能工厂，分期分批开展试点示范，逐步实现车间级、工厂级的智能化改造。</w:t>
      </w:r>
      <w:r>
        <w:rPr>
          <w:rFonts w:ascii="仿宋_GB2312" w:hAnsi="Times New Roman" w:eastAsia="仿宋_GB2312" w:cs="Times New Roman"/>
          <w:snapToGrid w:val="0"/>
          <w:kern w:val="0"/>
          <w:sz w:val="30"/>
          <w:szCs w:val="30"/>
        </w:rPr>
        <w:t>重点</w:t>
      </w:r>
      <w:r>
        <w:rPr>
          <w:rFonts w:hint="eastAsia" w:ascii="仿宋_GB2312" w:hAnsi="Times New Roman" w:eastAsia="仿宋_GB2312" w:cs="Times New Roman"/>
          <w:snapToGrid w:val="0"/>
          <w:kern w:val="0"/>
          <w:sz w:val="30"/>
          <w:szCs w:val="30"/>
        </w:rPr>
        <w:t>推进欧维姆“锚具及缆索事业部智能工厂”等一批项目建设。</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0" w:name="_Toc507683733"/>
      <w:r>
        <w:rPr>
          <w:rFonts w:hint="eastAsia" w:ascii="宋体" w:hAnsi="宋体" w:eastAsia="宋体" w:cs="Times New Roman"/>
          <w:color w:val="000000"/>
          <w:kern w:val="0"/>
          <w:lang w:val="zh-CN"/>
        </w:rPr>
        <w:t>（三）实施“互联网＋”行动计划</w:t>
      </w:r>
      <w:bookmarkEnd w:id="6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加快发展大数据、云计算、物联网、移动互联网、智能终端、工业软件等新一代信息技术，</w:t>
      </w:r>
      <w:r>
        <w:rPr>
          <w:rFonts w:ascii="仿宋_GB2312" w:hAnsi="Times New Roman" w:eastAsia="仿宋_GB2312" w:cs="Times New Roman"/>
          <w:snapToGrid w:val="0"/>
          <w:kern w:val="0"/>
          <w:sz w:val="30"/>
          <w:szCs w:val="30"/>
        </w:rPr>
        <w:t>实现战略性新兴产业的数字化、网络化、智能化发展。</w:t>
      </w:r>
      <w:r>
        <w:rPr>
          <w:rFonts w:hint="eastAsia" w:ascii="仿宋_GB2312" w:hAnsi="Times New Roman" w:eastAsia="仿宋_GB2312" w:cs="Times New Roman"/>
          <w:snapToGrid w:val="0"/>
          <w:kern w:val="0"/>
          <w:sz w:val="30"/>
          <w:szCs w:val="30"/>
        </w:rPr>
        <w:t>推动战略性新兴产业企业与互联网企业加强合作，建立基于互联网和标准化的开放信息系统，实现产业链上下游企业的信息共享和业务协作，带动产业信息化水平提升。鼓励</w:t>
      </w:r>
      <w:r>
        <w:rPr>
          <w:rFonts w:ascii="仿宋_GB2312" w:hAnsi="Times New Roman" w:eastAsia="仿宋_GB2312" w:cs="Times New Roman"/>
          <w:snapToGrid w:val="0"/>
          <w:kern w:val="0"/>
          <w:sz w:val="30"/>
          <w:szCs w:val="30"/>
        </w:rPr>
        <w:t>发展基于互联网的个性化定制、众包设计、云制造等新型制造模式，推动基于消费需求动态感知的研发、制造、服务新方式，</w:t>
      </w:r>
      <w:r>
        <w:rPr>
          <w:rFonts w:hint="eastAsia" w:ascii="仿宋_GB2312" w:hAnsi="Times New Roman" w:eastAsia="仿宋_GB2312" w:cs="Times New Roman"/>
          <w:snapToGrid w:val="0"/>
          <w:kern w:val="0"/>
          <w:sz w:val="30"/>
          <w:szCs w:val="30"/>
        </w:rPr>
        <w:t>支持</w:t>
      </w:r>
      <w:r>
        <w:rPr>
          <w:rFonts w:ascii="仿宋_GB2312" w:hAnsi="Times New Roman" w:eastAsia="仿宋_GB2312" w:cs="Times New Roman"/>
          <w:snapToGrid w:val="0"/>
          <w:kern w:val="0"/>
          <w:sz w:val="30"/>
          <w:szCs w:val="30"/>
        </w:rPr>
        <w:t>发展在线监控诊断、远程维护、融资租赁、全生命周期管理等新业务。</w:t>
      </w:r>
      <w:r>
        <w:rPr>
          <w:rFonts w:hint="eastAsia" w:ascii="仿宋_GB2312" w:hAnsi="Times New Roman" w:eastAsia="仿宋_GB2312" w:cs="Times New Roman"/>
          <w:snapToGrid w:val="0"/>
          <w:kern w:val="0"/>
          <w:sz w:val="30"/>
          <w:szCs w:val="30"/>
        </w:rPr>
        <w:t>重点</w:t>
      </w:r>
      <w:r>
        <w:rPr>
          <w:rFonts w:ascii="仿宋_GB2312" w:hAnsi="Times New Roman" w:eastAsia="仿宋_GB2312" w:cs="Times New Roman"/>
          <w:snapToGrid w:val="0"/>
          <w:kern w:val="0"/>
          <w:sz w:val="30"/>
          <w:szCs w:val="30"/>
        </w:rPr>
        <w:t>推动上汽通用五菱等龙头企业开展大数据应用，</w:t>
      </w:r>
      <w:r>
        <w:rPr>
          <w:rFonts w:hint="eastAsia" w:ascii="仿宋_GB2312" w:hAnsi="Times New Roman" w:eastAsia="仿宋_GB2312" w:cs="Times New Roman"/>
          <w:snapToGrid w:val="0"/>
          <w:kern w:val="0"/>
          <w:sz w:val="30"/>
          <w:szCs w:val="30"/>
        </w:rPr>
        <w:t>打造</w:t>
      </w:r>
      <w:r>
        <w:rPr>
          <w:rFonts w:ascii="仿宋_GB2312" w:hAnsi="Times New Roman" w:eastAsia="仿宋_GB2312" w:cs="Times New Roman"/>
          <w:snapToGrid w:val="0"/>
          <w:kern w:val="0"/>
          <w:sz w:val="30"/>
          <w:szCs w:val="30"/>
        </w:rPr>
        <w:t>新能源汽车大数据中心</w:t>
      </w:r>
      <w:r>
        <w:rPr>
          <w:rFonts w:hint="eastAsia" w:ascii="仿宋_GB2312" w:hAnsi="Times New Roman" w:eastAsia="仿宋_GB2312" w:cs="Times New Roman"/>
          <w:snapToGrid w:val="0"/>
          <w:kern w:val="0"/>
          <w:sz w:val="30"/>
          <w:szCs w:val="30"/>
        </w:rPr>
        <w:t>。加快</w:t>
      </w:r>
      <w:r>
        <w:rPr>
          <w:rFonts w:ascii="仿宋_GB2312" w:hAnsi="Times New Roman" w:eastAsia="仿宋_GB2312" w:cs="Times New Roman"/>
          <w:snapToGrid w:val="0"/>
          <w:kern w:val="0"/>
          <w:sz w:val="30"/>
          <w:szCs w:val="30"/>
        </w:rPr>
        <w:t>高端装备制造</w:t>
      </w:r>
      <w:r>
        <w:rPr>
          <w:rFonts w:hint="eastAsia" w:ascii="仿宋_GB2312" w:hAnsi="Times New Roman" w:eastAsia="仿宋_GB2312" w:cs="Times New Roman"/>
          <w:snapToGrid w:val="0"/>
          <w:kern w:val="0"/>
          <w:sz w:val="30"/>
          <w:szCs w:val="30"/>
        </w:rPr>
        <w:t>、新材料产业</w:t>
      </w:r>
      <w:r>
        <w:rPr>
          <w:rFonts w:ascii="仿宋_GB2312" w:hAnsi="Times New Roman" w:eastAsia="仿宋_GB2312" w:cs="Times New Roman"/>
          <w:snapToGrid w:val="0"/>
          <w:kern w:val="0"/>
          <w:sz w:val="30"/>
          <w:szCs w:val="30"/>
        </w:rPr>
        <w:t>大数据应用</w:t>
      </w:r>
      <w:r>
        <w:rPr>
          <w:rFonts w:hint="eastAsia" w:ascii="仿宋_GB2312" w:hAnsi="Times New Roman" w:eastAsia="仿宋_GB2312" w:cs="Times New Roman"/>
          <w:snapToGrid w:val="0"/>
          <w:kern w:val="0"/>
          <w:sz w:val="30"/>
          <w:szCs w:val="30"/>
        </w:rPr>
        <w:t>。</w:t>
      </w:r>
    </w:p>
    <w:p>
      <w:pPr>
        <w:pStyle w:val="3"/>
      </w:pPr>
      <w:bookmarkStart w:id="61" w:name="_Toc507683734"/>
      <w:r>
        <w:rPr>
          <w:rFonts w:hint="eastAsia"/>
        </w:rPr>
        <w:t>二、服务型制造突破行动</w:t>
      </w:r>
      <w:bookmarkEnd w:id="61"/>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发展服务型制造是增强战略性新兴产业竞争力的重要措施。通过大力发展工业设计、加快发展电子商务、着力发展现代物流，实现战略性新兴产业可持续发展，打造产业竞争新优势。</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2" w:name="_Toc507683735"/>
      <w:r>
        <w:rPr>
          <w:rFonts w:hint="eastAsia" w:ascii="宋体" w:hAnsi="宋体" w:eastAsia="宋体" w:cs="Times New Roman"/>
          <w:color w:val="000000"/>
          <w:kern w:val="0"/>
          <w:lang w:val="zh-CN"/>
        </w:rPr>
        <w:t>（一）大力发展工业设计</w:t>
      </w:r>
      <w:bookmarkEnd w:id="6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大力发展以功能设计、结构设计、形态及包装设计为主要内容的工业设计，鼓励企业争创自治区级和国家级工业设计中心。鼓励战略性新兴产业企业设立工业设计机构，并与工业设计企业加强合作，构建开放运行的设计创新体系。对接北部生态新区总体发展规划和建设总体规划，将工业设计城纳入北部生态新区建设规划，制定发展规划和相关政策，培育及发展柳州市工业设计产业。</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3" w:name="_Toc507683736"/>
      <w:r>
        <w:rPr>
          <w:rFonts w:hint="eastAsia" w:ascii="宋体" w:hAnsi="宋体" w:eastAsia="宋体" w:cs="Times New Roman"/>
          <w:color w:val="000000"/>
          <w:kern w:val="0"/>
          <w:lang w:val="zh-CN"/>
        </w:rPr>
        <w:t>（</w:t>
      </w:r>
      <w:r>
        <w:rPr>
          <w:rFonts w:hint="eastAsia" w:ascii="宋体" w:hAnsi="宋体" w:eastAsia="宋体" w:cs="Times New Roman"/>
          <w:color w:val="000000"/>
          <w:kern w:val="0"/>
        </w:rPr>
        <w:t>二</w:t>
      </w:r>
      <w:r>
        <w:rPr>
          <w:rFonts w:hint="eastAsia" w:ascii="宋体" w:hAnsi="宋体" w:eastAsia="宋体" w:cs="Times New Roman"/>
          <w:color w:val="000000"/>
          <w:kern w:val="0"/>
          <w:lang w:val="zh-CN"/>
        </w:rPr>
        <w:t>）</w:t>
      </w:r>
      <w:r>
        <w:rPr>
          <w:rFonts w:hint="eastAsia" w:ascii="宋体" w:hAnsi="宋体" w:eastAsia="宋体" w:cs="Times New Roman"/>
          <w:color w:val="000000"/>
          <w:kern w:val="0"/>
        </w:rPr>
        <w:t>加快</w:t>
      </w:r>
      <w:r>
        <w:rPr>
          <w:rFonts w:hint="eastAsia" w:ascii="宋体" w:hAnsi="宋体" w:eastAsia="宋体" w:cs="Times New Roman"/>
          <w:color w:val="000000"/>
          <w:kern w:val="0"/>
          <w:lang w:val="zh-CN"/>
        </w:rPr>
        <w:t>发展电子商务</w:t>
      </w:r>
      <w:bookmarkEnd w:id="63"/>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积极引导战略性新兴产业企业电子商务应用，支持龙头企业发挥资本、信息化优势，建立独立电子商务平台，以产业链为基础，以供应链管理为重点，实现采购、生产、销售全流程电子商务应用。围绕工业电子商务建设，扶持电子商务研发类项目和创新类项目，重点培育物联网、云计算、大数据、3D打印等新兴业态，实现线下设计、生产，线上营销、推广的模式，加快新兴产业的产业化进程。鼓励上汽通用五菱汽车股份有限公司E100“产品+体验”等电子商务平台搭建，形成“线上+线下”结合、“产品+体验”并行的数字电商模式，增强品牌竞争力。</w:t>
      </w:r>
    </w:p>
    <w:p>
      <w:pPr>
        <w:pStyle w:val="4"/>
        <w:tabs>
          <w:tab w:val="left" w:pos="720"/>
        </w:tabs>
        <w:spacing w:before="120" w:after="120" w:line="240" w:lineRule="auto"/>
        <w:ind w:left="643"/>
        <w:rPr>
          <w:rFonts w:ascii="仿宋" w:hAnsi="仿宋" w:eastAsia="仿宋" w:cs="Times New Roman"/>
          <w:b w:val="0"/>
        </w:rPr>
      </w:pPr>
      <w:bookmarkStart w:id="64" w:name="_Toc507683737"/>
      <w:r>
        <w:rPr>
          <w:rFonts w:hint="eastAsia" w:ascii="宋体" w:hAnsi="宋体" w:eastAsia="宋体" w:cs="Times New Roman"/>
          <w:color w:val="000000"/>
          <w:kern w:val="0"/>
          <w:lang w:val="zh-CN"/>
        </w:rPr>
        <w:t>（</w:t>
      </w:r>
      <w:r>
        <w:rPr>
          <w:rFonts w:hint="eastAsia" w:ascii="宋体" w:hAnsi="宋体" w:eastAsia="宋体" w:cs="Times New Roman"/>
          <w:color w:val="000000"/>
          <w:kern w:val="0"/>
        </w:rPr>
        <w:t>三</w:t>
      </w:r>
      <w:r>
        <w:rPr>
          <w:rFonts w:hint="eastAsia" w:ascii="宋体" w:hAnsi="宋体" w:eastAsia="宋体" w:cs="Times New Roman"/>
          <w:color w:val="000000"/>
          <w:kern w:val="0"/>
          <w:lang w:val="zh-CN"/>
        </w:rPr>
        <w:t>）</w:t>
      </w:r>
      <w:r>
        <w:rPr>
          <w:rFonts w:hint="eastAsia" w:ascii="宋体" w:hAnsi="宋体" w:eastAsia="宋体" w:cs="Times New Roman"/>
          <w:color w:val="000000"/>
          <w:kern w:val="0"/>
        </w:rPr>
        <w:t>着力</w:t>
      </w:r>
      <w:r>
        <w:rPr>
          <w:rFonts w:hint="eastAsia" w:ascii="宋体" w:hAnsi="宋体" w:eastAsia="宋体" w:cs="Times New Roman"/>
          <w:color w:val="000000"/>
          <w:kern w:val="0"/>
          <w:lang w:val="zh-CN"/>
        </w:rPr>
        <w:t>发展现代物流</w:t>
      </w:r>
      <w:bookmarkEnd w:id="64"/>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加快物流业与工业的融合发展，搭建制造企业和物流企业联合互动交流平台，大力促进工业企业物流业务分离外包，促进企业内部物流社会化。大力发展</w:t>
      </w:r>
      <w:r>
        <w:rPr>
          <w:rFonts w:hint="eastAsia" w:ascii="仿宋_GB2312" w:hAnsi="Times New Roman" w:eastAsia="仿宋_GB2312" w:cs="Times New Roman"/>
          <w:snapToGrid w:val="0"/>
          <w:kern w:val="0"/>
          <w:sz w:val="30"/>
          <w:szCs w:val="30"/>
        </w:rPr>
        <w:t>第三方物流和大型专业化物流企业，打造本土第三方物流龙头企业。优化物流企业供应链管理服务，重点推进云计算、物联网、北斗导航及地理信息等技术在物流智能化管理方面的应用。着力打造新能源汽车、高端装备、电子信息、新材料、医药等专业</w:t>
      </w:r>
      <w:r>
        <w:rPr>
          <w:rFonts w:ascii="仿宋_GB2312" w:hAnsi="Times New Roman" w:eastAsia="仿宋_GB2312" w:cs="Times New Roman"/>
          <w:snapToGrid w:val="0"/>
          <w:kern w:val="0"/>
          <w:sz w:val="30"/>
          <w:szCs w:val="30"/>
        </w:rPr>
        <w:t>物流</w:t>
      </w:r>
      <w:r>
        <w:rPr>
          <w:rFonts w:hint="eastAsia" w:ascii="仿宋_GB2312" w:hAnsi="Times New Roman" w:eastAsia="仿宋_GB2312" w:cs="Times New Roman"/>
          <w:snapToGrid w:val="0"/>
          <w:kern w:val="0"/>
          <w:sz w:val="30"/>
          <w:szCs w:val="30"/>
        </w:rPr>
        <w:t>园。</w:t>
      </w:r>
    </w:p>
    <w:p>
      <w:pPr>
        <w:pStyle w:val="3"/>
      </w:pPr>
      <w:bookmarkStart w:id="65" w:name="_Toc507683738"/>
      <w:r>
        <w:rPr>
          <w:rFonts w:hint="eastAsia"/>
        </w:rPr>
        <w:t>三、创新能力提升行动</w:t>
      </w:r>
      <w:bookmarkEnd w:id="6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提升自主创新能力是引领发展战略性新兴产业的中心环节。通过加强产业创新载体建设、</w:t>
      </w:r>
      <w:r>
        <w:rPr>
          <w:rFonts w:ascii="仿宋_GB2312" w:hAnsi="Times New Roman" w:eastAsia="仿宋_GB2312" w:cs="Times New Roman"/>
          <w:snapToGrid w:val="0"/>
          <w:kern w:val="0"/>
          <w:sz w:val="30"/>
          <w:szCs w:val="30"/>
        </w:rPr>
        <w:t>开展关键核心技术攻关</w:t>
      </w:r>
      <w:r>
        <w:rPr>
          <w:rFonts w:hint="eastAsia" w:ascii="仿宋_GB2312" w:hAnsi="Times New Roman" w:eastAsia="仿宋_GB2312" w:cs="Times New Roman"/>
          <w:snapToGrid w:val="0"/>
          <w:kern w:val="0"/>
          <w:sz w:val="30"/>
          <w:szCs w:val="30"/>
        </w:rPr>
        <w:t>、加快推进创新成果产业化，将我市建设成为广西战略性新兴产业创新示范区。</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6" w:name="_Toc507683739"/>
      <w:r>
        <w:rPr>
          <w:rFonts w:hint="eastAsia" w:ascii="宋体" w:hAnsi="宋体" w:eastAsia="宋体" w:cs="Times New Roman"/>
          <w:color w:val="000000"/>
          <w:kern w:val="0"/>
          <w:lang w:val="zh-CN"/>
        </w:rPr>
        <w:t>（一）</w:t>
      </w:r>
      <w:r>
        <w:rPr>
          <w:rFonts w:ascii="宋体" w:hAnsi="宋体" w:eastAsia="宋体" w:cs="Times New Roman"/>
          <w:color w:val="000000"/>
          <w:kern w:val="0"/>
          <w:lang w:val="zh-CN"/>
        </w:rPr>
        <w:t>加强产业创新载体建设</w:t>
      </w:r>
      <w:bookmarkEnd w:id="66"/>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围绕</w:t>
      </w:r>
      <w:r>
        <w:rPr>
          <w:rFonts w:hint="eastAsia" w:ascii="仿宋_GB2312" w:hAnsi="Times New Roman" w:eastAsia="仿宋_GB2312" w:cs="Times New Roman"/>
          <w:snapToGrid w:val="0"/>
          <w:kern w:val="0"/>
          <w:sz w:val="30"/>
          <w:szCs w:val="30"/>
        </w:rPr>
        <w:t>战略性</w:t>
      </w:r>
      <w:r>
        <w:rPr>
          <w:rFonts w:ascii="仿宋_GB2312" w:hAnsi="Times New Roman" w:eastAsia="仿宋_GB2312" w:cs="Times New Roman"/>
          <w:snapToGrid w:val="0"/>
          <w:kern w:val="0"/>
          <w:sz w:val="30"/>
          <w:szCs w:val="30"/>
        </w:rPr>
        <w:t>新兴产业发展需要，</w:t>
      </w:r>
      <w:r>
        <w:rPr>
          <w:rFonts w:hint="eastAsia" w:ascii="仿宋_GB2312" w:hAnsi="Times New Roman" w:eastAsia="仿宋_GB2312" w:cs="Times New Roman"/>
          <w:snapToGrid w:val="0"/>
          <w:kern w:val="0"/>
          <w:sz w:val="30"/>
          <w:szCs w:val="30"/>
        </w:rPr>
        <w:t>鼓励</w:t>
      </w:r>
      <w:r>
        <w:rPr>
          <w:rFonts w:ascii="仿宋_GB2312" w:hAnsi="Times New Roman" w:eastAsia="仿宋_GB2312" w:cs="Times New Roman"/>
          <w:snapToGrid w:val="0"/>
          <w:kern w:val="0"/>
          <w:sz w:val="30"/>
          <w:szCs w:val="30"/>
        </w:rPr>
        <w:t>企业加大研发投入，提升软硬件基础条件，加强企业技术中心、工程（技术）研究中心、重点（工程）实验室等科技成果创新和转化平台建设。</w:t>
      </w:r>
      <w:r>
        <w:rPr>
          <w:rFonts w:hint="eastAsia" w:ascii="仿宋_GB2312" w:hAnsi="Times New Roman" w:eastAsia="仿宋_GB2312" w:cs="Times New Roman"/>
          <w:snapToGrid w:val="0"/>
          <w:kern w:val="0"/>
          <w:sz w:val="30"/>
          <w:szCs w:val="30"/>
        </w:rPr>
        <w:t>支持园区、龙头企业或产业联盟建设公共技术研发平台、检测试验平台等公共服务平台。</w:t>
      </w:r>
      <w:r>
        <w:rPr>
          <w:rFonts w:ascii="仿宋_GB2312" w:hAnsi="Times New Roman" w:eastAsia="仿宋_GB2312" w:cs="Times New Roman"/>
          <w:snapToGrid w:val="0"/>
          <w:kern w:val="0"/>
          <w:sz w:val="30"/>
          <w:szCs w:val="30"/>
        </w:rPr>
        <w:t>推进企业与高校、科研院所深度合作，形成产学研合作长效机制。</w:t>
      </w:r>
      <w:r>
        <w:rPr>
          <w:rFonts w:hint="eastAsia" w:ascii="仿宋_GB2312" w:hAnsi="Times New Roman" w:eastAsia="仿宋_GB2312" w:cs="Times New Roman"/>
          <w:snapToGrid w:val="0"/>
          <w:kern w:val="0"/>
          <w:sz w:val="30"/>
          <w:szCs w:val="30"/>
        </w:rPr>
        <w:t>重点建设</w:t>
      </w:r>
      <w:r>
        <w:rPr>
          <w:rFonts w:ascii="仿宋_GB2312" w:hAnsi="Times New Roman" w:eastAsia="仿宋_GB2312" w:cs="Times New Roman"/>
          <w:snapToGrid w:val="0"/>
          <w:kern w:val="0"/>
          <w:sz w:val="30"/>
          <w:szCs w:val="30"/>
        </w:rPr>
        <w:t>柳州轨道交通研究院</w:t>
      </w:r>
      <w:r>
        <w:rPr>
          <w:rFonts w:hint="eastAsia" w:ascii="仿宋_GB2312" w:hAnsi="Times New Roman" w:eastAsia="仿宋_GB2312" w:cs="Times New Roman"/>
          <w:snapToGrid w:val="0"/>
          <w:kern w:val="0"/>
          <w:sz w:val="30"/>
          <w:szCs w:val="30"/>
        </w:rPr>
        <w:t>、全国铁路计量检测公共服务平台、柳州快速制造工程技术中心</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广西壮药产业化工程院等一批产业创新平台，打造</w:t>
      </w:r>
      <w:r>
        <w:rPr>
          <w:rFonts w:ascii="仿宋_GB2312" w:hAnsi="Times New Roman" w:eastAsia="仿宋_GB2312" w:cs="Times New Roman"/>
          <w:snapToGrid w:val="0"/>
          <w:kern w:val="0"/>
          <w:sz w:val="30"/>
          <w:szCs w:val="30"/>
        </w:rPr>
        <w:t>成为自主创新的重要载体。</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7" w:name="_Toc507683740"/>
      <w:r>
        <w:rPr>
          <w:rFonts w:hint="eastAsia" w:ascii="宋体" w:hAnsi="宋体" w:eastAsia="宋体" w:cs="Times New Roman"/>
          <w:color w:val="000000"/>
          <w:kern w:val="0"/>
          <w:lang w:val="zh-CN"/>
        </w:rPr>
        <w:t>（二）</w:t>
      </w:r>
      <w:r>
        <w:rPr>
          <w:rFonts w:ascii="宋体" w:hAnsi="宋体" w:eastAsia="宋体" w:cs="Times New Roman"/>
          <w:color w:val="000000"/>
          <w:kern w:val="0"/>
          <w:lang w:val="zh-CN"/>
        </w:rPr>
        <w:t>开展关键核心技术攻关</w:t>
      </w:r>
      <w:bookmarkEnd w:id="67"/>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以战略性新兴产业为重点，</w:t>
      </w:r>
      <w:r>
        <w:rPr>
          <w:rFonts w:hint="eastAsia" w:ascii="仿宋_GB2312" w:hAnsi="Times New Roman" w:eastAsia="仿宋_GB2312" w:cs="Times New Roman"/>
          <w:snapToGrid w:val="0"/>
          <w:kern w:val="0"/>
          <w:sz w:val="30"/>
          <w:szCs w:val="30"/>
        </w:rPr>
        <w:t>聚焦新能源汽车、轨道交通、智能电网、高端装备、新材料等重点发展领域</w:t>
      </w:r>
      <w:r>
        <w:rPr>
          <w:rFonts w:ascii="仿宋_GB2312" w:hAnsi="Times New Roman" w:eastAsia="仿宋_GB2312" w:cs="Times New Roman"/>
          <w:snapToGrid w:val="0"/>
          <w:kern w:val="0"/>
          <w:sz w:val="30"/>
          <w:szCs w:val="30"/>
        </w:rPr>
        <w:t>，依托龙头骨干企业，整合创新资源，集中力量开展科技攻关，推动跨领域集成创新，构建产业核心技术创新链，突破一批制约产业发展的关键核心技术</w:t>
      </w:r>
      <w:r>
        <w:rPr>
          <w:rFonts w:hint="eastAsia" w:ascii="仿宋_GB2312" w:hAnsi="Times New Roman" w:eastAsia="仿宋_GB2312" w:cs="Times New Roman"/>
          <w:snapToGrid w:val="0"/>
          <w:kern w:val="0"/>
          <w:sz w:val="30"/>
          <w:szCs w:val="30"/>
        </w:rPr>
        <w:t>，提高产业核心竞争力</w:t>
      </w:r>
      <w:r>
        <w:rPr>
          <w:rFonts w:ascii="仿宋_GB2312" w:hAnsi="Times New Roman" w:eastAsia="仿宋_GB2312" w:cs="Times New Roman"/>
          <w:snapToGrid w:val="0"/>
          <w:kern w:val="0"/>
          <w:sz w:val="30"/>
          <w:szCs w:val="30"/>
        </w:rPr>
        <w:t>。支持企业与科研院所通过联合或委托开发、共建等形式，建设产学研战略联盟，从事核心技术、关键技术和公共技术研究。</w:t>
      </w:r>
      <w:r>
        <w:rPr>
          <w:rFonts w:hint="eastAsia" w:ascii="仿宋_GB2312" w:hAnsi="Times New Roman" w:eastAsia="仿宋_GB2312" w:cs="Times New Roman"/>
          <w:snapToGrid w:val="0"/>
          <w:kern w:val="0"/>
          <w:sz w:val="30"/>
          <w:szCs w:val="30"/>
        </w:rPr>
        <w:t>力争在新能源汽车制造、轨道交通车辆制造、智能电网产品研发制造、机器人研发制造、3D打印应用等技术领域取得重大突破。</w:t>
      </w:r>
    </w:p>
    <w:p>
      <w:pPr>
        <w:pStyle w:val="4"/>
        <w:tabs>
          <w:tab w:val="left" w:pos="720"/>
        </w:tabs>
        <w:spacing w:before="120" w:after="120" w:line="240" w:lineRule="auto"/>
        <w:ind w:left="643"/>
        <w:rPr>
          <w:rFonts w:ascii="宋体" w:hAnsi="宋体" w:eastAsia="宋体" w:cs="Times New Roman"/>
          <w:color w:val="000000"/>
          <w:kern w:val="0"/>
          <w:lang w:val="zh-CN"/>
        </w:rPr>
      </w:pPr>
      <w:bookmarkStart w:id="68" w:name="_Toc507683741"/>
      <w:r>
        <w:rPr>
          <w:rFonts w:hint="eastAsia" w:ascii="宋体" w:hAnsi="宋体" w:eastAsia="宋体" w:cs="Times New Roman"/>
          <w:color w:val="000000"/>
          <w:kern w:val="0"/>
          <w:lang w:val="zh-CN"/>
        </w:rPr>
        <w:t>（三）推进创新成果产业化</w:t>
      </w:r>
      <w:bookmarkEnd w:id="6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加快科技成果转化平台建设，大力发展技术评估咨询、科技成果推广、技术产权交易等中介机构。支持企业自主创新技术申请国家专利，大力开展名优产品品牌创建、品牌宣传、品牌维护等活动。</w:t>
      </w:r>
      <w:r>
        <w:rPr>
          <w:rFonts w:ascii="仿宋_GB2312" w:hAnsi="Times New Roman" w:eastAsia="仿宋_GB2312" w:cs="Times New Roman"/>
          <w:snapToGrid w:val="0"/>
          <w:kern w:val="0"/>
          <w:sz w:val="30"/>
          <w:szCs w:val="30"/>
        </w:rPr>
        <w:t>鼓励我市企业主导或参与相关国家标准、行业标准和地方标准的制定和修订</w:t>
      </w:r>
      <w:r>
        <w:rPr>
          <w:rFonts w:hint="eastAsia" w:ascii="仿宋_GB2312" w:hAnsi="Times New Roman" w:eastAsia="仿宋_GB2312" w:cs="Times New Roman"/>
          <w:snapToGrid w:val="0"/>
          <w:kern w:val="0"/>
          <w:sz w:val="30"/>
          <w:szCs w:val="30"/>
        </w:rPr>
        <w:t>，及时将先进技术转化为标准。</w:t>
      </w:r>
      <w:r>
        <w:rPr>
          <w:rFonts w:ascii="仿宋_GB2312" w:hAnsi="Times New Roman" w:eastAsia="仿宋_GB2312" w:cs="Times New Roman"/>
          <w:snapToGrid w:val="0"/>
          <w:kern w:val="0"/>
          <w:sz w:val="30"/>
          <w:szCs w:val="30"/>
        </w:rPr>
        <w:t>以推进“双创”为契机，不断加快众创空间、创新孵化器等创新创业基地建设，吸引集聚创新创业人才，促进国内外先进技术转移转化。以战略性新兴产业为重点，</w:t>
      </w:r>
      <w:r>
        <w:rPr>
          <w:rFonts w:hint="eastAsia" w:ascii="仿宋_GB2312" w:hAnsi="Times New Roman" w:eastAsia="仿宋_GB2312" w:cs="Times New Roman"/>
          <w:snapToGrid w:val="0"/>
          <w:kern w:val="0"/>
          <w:sz w:val="30"/>
          <w:szCs w:val="30"/>
        </w:rPr>
        <w:t>组织实施卡耐公司“电池系统轻量化技术开发”、达迪公司“RFID智能ODF系统产业化”等一批以科技成果产业化为主的技术创新项目。</w:t>
      </w:r>
    </w:p>
    <w:p>
      <w:pPr>
        <w:pStyle w:val="3"/>
      </w:pPr>
      <w:bookmarkStart w:id="69" w:name="_Toc507683742"/>
      <w:r>
        <w:rPr>
          <w:rFonts w:hint="eastAsia"/>
        </w:rPr>
        <w:t>四、重大项目建设行动</w:t>
      </w:r>
      <w:bookmarkEnd w:id="6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重大项目是支撑发展战略性新兴产业的驱动引擎。通过</w:t>
      </w:r>
      <w:r>
        <w:rPr>
          <w:rFonts w:ascii="仿宋_GB2312" w:hAnsi="Times New Roman" w:eastAsia="仿宋_GB2312" w:cs="Times New Roman"/>
          <w:snapToGrid w:val="0"/>
          <w:kern w:val="0"/>
          <w:sz w:val="30"/>
          <w:szCs w:val="30"/>
        </w:rPr>
        <w:t>加强重大项目</w:t>
      </w:r>
      <w:r>
        <w:rPr>
          <w:rFonts w:hint="eastAsia" w:ascii="仿宋_GB2312" w:hAnsi="Times New Roman" w:eastAsia="仿宋_GB2312" w:cs="Times New Roman"/>
          <w:snapToGrid w:val="0"/>
          <w:kern w:val="0"/>
          <w:sz w:val="30"/>
          <w:szCs w:val="30"/>
        </w:rPr>
        <w:t>统筹</w:t>
      </w:r>
      <w:r>
        <w:rPr>
          <w:rFonts w:ascii="仿宋_GB2312" w:hAnsi="Times New Roman" w:eastAsia="仿宋_GB2312" w:cs="Times New Roman"/>
          <w:snapToGrid w:val="0"/>
          <w:kern w:val="0"/>
          <w:sz w:val="30"/>
          <w:szCs w:val="30"/>
        </w:rPr>
        <w:t>推进</w:t>
      </w:r>
      <w:r>
        <w:rPr>
          <w:rFonts w:hint="eastAsia" w:ascii="仿宋_GB2312" w:hAnsi="Times New Roman" w:eastAsia="仿宋_GB2312" w:cs="Times New Roman"/>
          <w:snapToGrid w:val="0"/>
          <w:kern w:val="0"/>
          <w:sz w:val="30"/>
          <w:szCs w:val="30"/>
        </w:rPr>
        <w:t>、强化项目管理、加强项目协调服务，着力搭建以企业为主体、以项目为载体的产业发展机制，</w:t>
      </w:r>
      <w:r>
        <w:rPr>
          <w:rFonts w:ascii="仿宋_GB2312" w:hAnsi="Times New Roman" w:eastAsia="仿宋_GB2312" w:cs="Times New Roman"/>
          <w:snapToGrid w:val="0"/>
          <w:kern w:val="0"/>
          <w:sz w:val="30"/>
          <w:szCs w:val="30"/>
        </w:rPr>
        <w:t>推动</w:t>
      </w:r>
      <w:r>
        <w:rPr>
          <w:rFonts w:hint="eastAsia" w:ascii="仿宋_GB2312" w:hAnsi="Times New Roman" w:eastAsia="仿宋_GB2312" w:cs="Times New Roman"/>
          <w:snapToGrid w:val="0"/>
          <w:kern w:val="0"/>
          <w:sz w:val="30"/>
          <w:szCs w:val="30"/>
        </w:rPr>
        <w:t>战略性新兴</w:t>
      </w:r>
      <w:r>
        <w:rPr>
          <w:rFonts w:ascii="仿宋_GB2312" w:hAnsi="Times New Roman" w:eastAsia="仿宋_GB2312" w:cs="Times New Roman"/>
          <w:snapToGrid w:val="0"/>
          <w:kern w:val="0"/>
          <w:sz w:val="30"/>
          <w:szCs w:val="30"/>
        </w:rPr>
        <w:t>产业加快发展。</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0" w:name="_Toc507683743"/>
      <w:r>
        <w:rPr>
          <w:rFonts w:hint="eastAsia" w:ascii="宋体" w:hAnsi="宋体" w:eastAsia="宋体" w:cs="Times New Roman"/>
          <w:color w:val="000000"/>
          <w:kern w:val="0"/>
          <w:lang w:val="zh-CN"/>
        </w:rPr>
        <w:t>（一）</w:t>
      </w:r>
      <w:r>
        <w:rPr>
          <w:rFonts w:ascii="宋体" w:hAnsi="宋体" w:eastAsia="宋体" w:cs="Times New Roman"/>
          <w:color w:val="000000"/>
          <w:kern w:val="0"/>
          <w:lang w:val="zh-CN"/>
        </w:rPr>
        <w:t>加强项目</w:t>
      </w:r>
      <w:r>
        <w:rPr>
          <w:rFonts w:hint="eastAsia" w:ascii="宋体" w:hAnsi="宋体" w:eastAsia="宋体" w:cs="Times New Roman"/>
          <w:color w:val="000000"/>
          <w:kern w:val="0"/>
          <w:lang w:val="zh-CN"/>
        </w:rPr>
        <w:t>统筹</w:t>
      </w:r>
      <w:r>
        <w:rPr>
          <w:rFonts w:ascii="宋体" w:hAnsi="宋体" w:eastAsia="宋体" w:cs="Times New Roman"/>
          <w:color w:val="000000"/>
          <w:kern w:val="0"/>
          <w:lang w:val="zh-CN"/>
        </w:rPr>
        <w:t>推进</w:t>
      </w:r>
      <w:bookmarkEnd w:id="7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积极对接“中国制造2025”重点领域技术路线图，突出前瞻性、战略性、引领性，在市场前景广、产品附加值高、带动能力强的领域谋划推进一批重大项目，形成“开工一批、建设一批、竣工一批、储备一批”项目梯次推进、良性发展格局。在全市重大项目年度计划安排上，着力提高战略性新兴产业项目比重，</w:t>
      </w:r>
      <w:r>
        <w:rPr>
          <w:rFonts w:ascii="仿宋_GB2312" w:hAnsi="Times New Roman" w:eastAsia="仿宋_GB2312" w:cs="Times New Roman"/>
          <w:snapToGrid w:val="0"/>
          <w:kern w:val="0"/>
          <w:sz w:val="30"/>
          <w:szCs w:val="30"/>
        </w:rPr>
        <w:t>通过重大项目调度推进平台，协调解决</w:t>
      </w:r>
      <w:r>
        <w:rPr>
          <w:rFonts w:hint="eastAsia" w:ascii="仿宋_GB2312" w:hAnsi="Times New Roman" w:eastAsia="仿宋_GB2312" w:cs="Times New Roman"/>
          <w:snapToGrid w:val="0"/>
          <w:kern w:val="0"/>
          <w:sz w:val="30"/>
          <w:szCs w:val="30"/>
        </w:rPr>
        <w:t>战略性新兴产业</w:t>
      </w:r>
      <w:r>
        <w:rPr>
          <w:rFonts w:ascii="仿宋_GB2312" w:hAnsi="Times New Roman" w:eastAsia="仿宋_GB2312" w:cs="Times New Roman"/>
          <w:snapToGrid w:val="0"/>
          <w:kern w:val="0"/>
          <w:sz w:val="30"/>
          <w:szCs w:val="30"/>
        </w:rPr>
        <w:t>重大项目建设过程中存在的用地、环评等各类困难和问题，推动项目加快建设。</w:t>
      </w:r>
      <w:r>
        <w:rPr>
          <w:rFonts w:hint="eastAsia" w:ascii="仿宋_GB2312" w:hAnsi="Times New Roman" w:eastAsia="仿宋_GB2312" w:cs="Times New Roman"/>
          <w:snapToGrid w:val="0"/>
          <w:kern w:val="0"/>
          <w:sz w:val="30"/>
          <w:szCs w:val="30"/>
        </w:rPr>
        <w:t>重点推进上汽通用五菱“系列纯电动汽车开发及产业化”、东风柳汽柳东新能源汽车生产基地项目、银海铝业公司“交通运输铝材轻量化”等一批重大项目建设。</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1" w:name="_Toc507683744"/>
      <w:r>
        <w:rPr>
          <w:rFonts w:hint="eastAsia" w:ascii="宋体" w:hAnsi="宋体" w:eastAsia="宋体" w:cs="Times New Roman"/>
          <w:color w:val="000000"/>
          <w:kern w:val="0"/>
          <w:lang w:val="zh-CN"/>
        </w:rPr>
        <w:t>（</w:t>
      </w:r>
      <w:r>
        <w:rPr>
          <w:rFonts w:hint="eastAsia" w:ascii="宋体" w:hAnsi="宋体" w:eastAsia="宋体" w:cs="Times New Roman"/>
          <w:color w:val="000000"/>
          <w:kern w:val="0"/>
        </w:rPr>
        <w:t>二</w:t>
      </w:r>
      <w:r>
        <w:rPr>
          <w:rFonts w:hint="eastAsia" w:ascii="宋体" w:hAnsi="宋体" w:eastAsia="宋体" w:cs="Times New Roman"/>
          <w:color w:val="000000"/>
          <w:kern w:val="0"/>
          <w:lang w:val="zh-CN"/>
        </w:rPr>
        <w:t>）强化项目管理</w:t>
      </w:r>
      <w:bookmarkEnd w:id="71"/>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立足现实基础和比较优势，</w:t>
      </w:r>
      <w:r>
        <w:rPr>
          <w:rFonts w:hint="eastAsia" w:ascii="仿宋_GB2312" w:hAnsi="Times New Roman" w:eastAsia="仿宋_GB2312" w:cs="Times New Roman"/>
          <w:snapToGrid w:val="0"/>
          <w:kern w:val="0"/>
          <w:sz w:val="30"/>
          <w:szCs w:val="30"/>
        </w:rPr>
        <w:t>实施战略性新兴产业项目动态管理和调度，积极争取一批项目列入国家、自治区层面重大新兴产业项目，在规划编制、产业布局、投资安排、资金补助、贷款贴息等方面得到国家、自治区支持。</w:t>
      </w:r>
      <w:r>
        <w:rPr>
          <w:rFonts w:ascii="仿宋_GB2312" w:hAnsi="Times New Roman" w:eastAsia="仿宋_GB2312" w:cs="Times New Roman"/>
          <w:snapToGrid w:val="0"/>
          <w:kern w:val="0"/>
          <w:sz w:val="30"/>
          <w:szCs w:val="30"/>
        </w:rPr>
        <w:t>认真研究国家产业政策和投资导向，密切跟踪国内产业转移新动向，引进更多的</w:t>
      </w:r>
      <w:r>
        <w:rPr>
          <w:rFonts w:hint="eastAsia" w:ascii="仿宋_GB2312" w:hAnsi="Times New Roman" w:eastAsia="仿宋_GB2312" w:cs="Times New Roman"/>
          <w:snapToGrid w:val="0"/>
          <w:kern w:val="0"/>
          <w:sz w:val="30"/>
          <w:szCs w:val="30"/>
        </w:rPr>
        <w:t>战略性新兴产业</w:t>
      </w:r>
      <w:r>
        <w:rPr>
          <w:rFonts w:ascii="仿宋_GB2312" w:hAnsi="Times New Roman" w:eastAsia="仿宋_GB2312" w:cs="Times New Roman"/>
          <w:snapToGrid w:val="0"/>
          <w:kern w:val="0"/>
          <w:sz w:val="30"/>
          <w:szCs w:val="30"/>
        </w:rPr>
        <w:t>项目落户</w:t>
      </w:r>
      <w:r>
        <w:rPr>
          <w:rFonts w:hint="eastAsia" w:ascii="仿宋_GB2312" w:hAnsi="Times New Roman" w:eastAsia="仿宋_GB2312" w:cs="Times New Roman"/>
          <w:snapToGrid w:val="0"/>
          <w:kern w:val="0"/>
          <w:sz w:val="30"/>
          <w:szCs w:val="30"/>
        </w:rPr>
        <w:t>柳州。</w:t>
      </w:r>
      <w:r>
        <w:rPr>
          <w:rFonts w:ascii="仿宋_GB2312" w:hAnsi="Times New Roman" w:eastAsia="仿宋_GB2312" w:cs="Times New Roman"/>
          <w:snapToGrid w:val="0"/>
          <w:kern w:val="0"/>
          <w:sz w:val="30"/>
          <w:szCs w:val="30"/>
        </w:rPr>
        <w:t>加强项目调度，加大对项目建设情况的跟踪调度力度，为项目顺利推进创造条件，提供保障。</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2" w:name="_Toc507683745"/>
      <w:r>
        <w:rPr>
          <w:rFonts w:hint="eastAsia" w:ascii="宋体" w:hAnsi="宋体" w:eastAsia="宋体" w:cs="Times New Roman"/>
          <w:color w:val="000000"/>
          <w:kern w:val="0"/>
          <w:lang w:val="zh-CN"/>
        </w:rPr>
        <w:t>（三）加强项目协调服务</w:t>
      </w:r>
      <w:bookmarkEnd w:id="7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实行战略性新兴产业重点项目部门协调机制，切实保障重大项目建设的土地、资金等要素需求，开展战略性新兴产业重点项目联合审批，优化办理流程，压缩审批时限，提高项目审批速度。加快建立战略性新兴产业重点项目动态监测机制和督查机制，实现项目动态跟踪，并加强项目推进工作的督促检查。进一步完善战略性新兴产业项目储备制度，策划和储备一批带动性强、关联度大、发展前景好的项目。</w:t>
      </w:r>
    </w:p>
    <w:p>
      <w:pPr>
        <w:pStyle w:val="3"/>
      </w:pPr>
      <w:bookmarkStart w:id="73" w:name="_Toc507683746"/>
      <w:r>
        <w:rPr>
          <w:rFonts w:hint="eastAsia"/>
        </w:rPr>
        <w:t>五、强优企业培育行动</w:t>
      </w:r>
      <w:bookmarkEnd w:id="73"/>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企业是推动发展战略性新兴产业的主体力量。通过培育龙头企业、扶持发展骨干企业、着力发展特色企业，完善政策措施，引导各类优势资源向企业集聚，形成具有一定规模、竞争力较强的战略性新兴产业企业群体。</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4" w:name="_Toc507683747"/>
      <w:r>
        <w:rPr>
          <w:rFonts w:hint="eastAsia" w:ascii="宋体" w:hAnsi="宋体" w:eastAsia="宋体" w:cs="Times New Roman"/>
          <w:color w:val="000000"/>
          <w:kern w:val="0"/>
          <w:lang w:val="zh-CN"/>
        </w:rPr>
        <w:t>（一）培育龙头领军企业</w:t>
      </w:r>
      <w:bookmarkEnd w:id="7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推动优势资源向龙头企业集聚，扶持政策向重点项目倾斜，做大做强产业链上龙头企业。充分发挥龙头企业的规模和技术优势，吸引为其配套的上下游企业，促进全市产业的无缝对接，构筑具有较强竞争优势的产业链。支持龙头企业围绕提升产业集中度、延伸产业链开展并购重组，整合先进技术、人才、品牌、渠道等核心资源，形成一批经济规模大、市场占有率高、竞争能力强的大企业和企业联合体。重点培育上汽通用五菱汽车股份有限公司新能源汽车、东风柳州汽车有限公司新能源汽车、联合汽车电子（柳州）有限公司、耐世特汽车系统（柳州）有限公司等一批新兴产业龙头企业。</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5" w:name="_Toc507683748"/>
      <w:r>
        <w:rPr>
          <w:rFonts w:hint="eastAsia" w:ascii="宋体" w:hAnsi="宋体" w:eastAsia="宋体" w:cs="Times New Roman"/>
          <w:color w:val="000000"/>
          <w:kern w:val="0"/>
          <w:lang w:val="zh-CN"/>
        </w:rPr>
        <w:t>（二）扶持发展骨干企业</w:t>
      </w:r>
      <w:bookmarkEnd w:id="7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重点培育一批自主创新能力强、研发投入较高、掌握核心关键技术、主业方向明确、具有一定规模的骨干企业，发挥骨干企业在全市经济转型升级中的创新支撑作用。引导多层次资本市场与骨干企业有效对接，为企业多渠道筹集发展资金创造条件。激发中小企业活力，促进面广量大的科技型中小企业向新技术、新模式和新业态转型，加速成长为骨干企业。</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6" w:name="_Toc507683749"/>
      <w:r>
        <w:rPr>
          <w:rFonts w:hint="eastAsia" w:ascii="宋体" w:hAnsi="宋体" w:eastAsia="宋体" w:cs="Times New Roman"/>
          <w:color w:val="000000"/>
          <w:kern w:val="0"/>
          <w:lang w:val="zh-CN"/>
        </w:rPr>
        <w:t>（三）着力发展特色企业</w:t>
      </w:r>
      <w:bookmarkEnd w:id="7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精心培育一批成长性好、产业链延伸性好的创新型、科技型特色中小企业，以及具有核心技术的小微企业。加大小微企业孵化力度，完善潜力企业孵化机制，加强人才培训、金融支撑、共性技术供给等服务保障，降低企业在成长初期的成本。鼓励小微企业与龙头企业开展协作配套，促进其向专、精、特、新方向发展，推进众创、众包、众扶、众筹发展，构建便利创业创新的体制机制。重点培育柳州科路测量仪器有限责任公司、广西晶联光电材料有限责任公司等一批富有活力战略性新兴产业特色企业加快成长。</w:t>
      </w:r>
    </w:p>
    <w:p>
      <w:pPr>
        <w:pStyle w:val="3"/>
      </w:pPr>
      <w:bookmarkStart w:id="77" w:name="_Toc507683750"/>
      <w:r>
        <w:rPr>
          <w:rFonts w:hint="eastAsia"/>
        </w:rPr>
        <w:t>六、产业集聚发展行动</w:t>
      </w:r>
      <w:bookmarkEnd w:id="77"/>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产业基地是集聚发展战略性新兴产业的重要载体，通过培育优势产业集群、建设产业示范基地、提升园区承载能力，</w:t>
      </w:r>
      <w:r>
        <w:rPr>
          <w:rFonts w:ascii="仿宋_GB2312" w:hAnsi="Times New Roman" w:eastAsia="仿宋_GB2312" w:cs="Times New Roman"/>
          <w:snapToGrid w:val="0"/>
          <w:kern w:val="0"/>
          <w:sz w:val="30"/>
          <w:szCs w:val="30"/>
        </w:rPr>
        <w:t>培育一批创新能力强、创业环境好、特色突出、集聚发展的战略性新兴产业示范基地和园区，形成新的增长极。</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8" w:name="_Toc507683751"/>
      <w:r>
        <w:rPr>
          <w:rFonts w:hint="eastAsia" w:ascii="宋体" w:hAnsi="宋体" w:eastAsia="宋体" w:cs="Times New Roman"/>
          <w:color w:val="000000"/>
          <w:kern w:val="0"/>
          <w:lang w:val="zh-CN"/>
        </w:rPr>
        <w:t>（一）培育优势产业集群</w:t>
      </w:r>
      <w:bookmarkEnd w:id="7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依托现有工业工业园区，集聚培育一批具有较强竞争力的高技术、高附加值的产业集群，实现“引进一个项目，带来一批配套；建设一个项目，带动一个产业”的“链式集聚”。以广西汽车城为载体，依托上汽通用五菱汽车股份有限公司、东风柳州汽车有限公司，打造新能源汽车产业集群，依托联合汽车电子（柳州）有限公司、耐世特汽车系统（柳州）有限公司，打造汽车电子产业集群。以智能交通产业园为载体，依托中车公司，打造轨道交通产业集群。以北部生态新区为载体，依托南方电网，打造智能电网产业集群。以柳北工业园区为载体，依托广西建工集团、中建钢构公司、柳钢集团，打造装配式建筑产业集群。</w:t>
      </w:r>
    </w:p>
    <w:p>
      <w:pPr>
        <w:pStyle w:val="4"/>
        <w:tabs>
          <w:tab w:val="left" w:pos="720"/>
        </w:tabs>
        <w:spacing w:before="120" w:after="120" w:line="240" w:lineRule="auto"/>
        <w:ind w:left="643"/>
        <w:rPr>
          <w:rFonts w:ascii="宋体" w:hAnsi="宋体" w:eastAsia="宋体" w:cs="Times New Roman"/>
          <w:color w:val="000000"/>
          <w:kern w:val="0"/>
          <w:lang w:val="zh-CN"/>
        </w:rPr>
      </w:pPr>
      <w:bookmarkStart w:id="79" w:name="_Toc507683752"/>
      <w:r>
        <w:rPr>
          <w:rFonts w:hint="eastAsia" w:ascii="宋体" w:hAnsi="宋体" w:eastAsia="宋体" w:cs="Times New Roman"/>
          <w:color w:val="000000"/>
          <w:kern w:val="0"/>
          <w:lang w:val="zh-CN"/>
        </w:rPr>
        <w:t>（二）建设产业示范基地</w:t>
      </w:r>
      <w:bookmarkEnd w:id="7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围绕战略性新兴产业发展的重点领域，依托现有工业园区，突出“特色化、集聚化、高端化、创新化”，打造一批战略性新兴产业示范性基地，重点推进智能交通、智能电网、装配式建筑、新能源汽车、电子信息、不锈钢产业、循环经济等产业园区建设。积极推进园区道路、供电、供水、排水、燃气、电信等基础设施建设。推动产业项目快落地、快投产、快见效，尽快形成产业规模，加快产业聚集。</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0" w:name="_Toc507683753"/>
      <w:r>
        <w:rPr>
          <w:rFonts w:hint="eastAsia" w:ascii="宋体" w:hAnsi="宋体" w:eastAsia="宋体" w:cs="Times New Roman"/>
          <w:color w:val="000000"/>
          <w:kern w:val="0"/>
          <w:lang w:val="zh-CN"/>
        </w:rPr>
        <w:t>（三）提升园区承载能力</w:t>
      </w:r>
      <w:bookmarkEnd w:id="8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整合全市产业园区资源，理顺各个园区的产业结构、产业布局和产业定位，</w:t>
      </w:r>
      <w:r>
        <w:rPr>
          <w:rFonts w:ascii="仿宋_GB2312" w:hAnsi="Times New Roman" w:eastAsia="仿宋_GB2312" w:cs="Times New Roman"/>
          <w:snapToGrid w:val="0"/>
          <w:kern w:val="0"/>
          <w:sz w:val="30"/>
          <w:szCs w:val="30"/>
        </w:rPr>
        <w:t>提高土地等资源利用效率</w:t>
      </w:r>
      <w:r>
        <w:rPr>
          <w:rFonts w:hint="eastAsia" w:ascii="仿宋_GB2312" w:hAnsi="Times New Roman" w:eastAsia="仿宋_GB2312" w:cs="Times New Roman"/>
          <w:snapToGrid w:val="0"/>
          <w:kern w:val="0"/>
          <w:sz w:val="30"/>
          <w:szCs w:val="30"/>
        </w:rPr>
        <w:t>，腾出空间规划建设战略性新兴产业园区。引导人才、技术、资金和项目向园区集聚，建设园区产学研服务、科技成果孵化服务、公共技术研发服务等基础平台，提升园区创新服务支撑能力。加强园区信息服务平台建设，形成覆盖研发、生产、销售环节，高效、协同、互动、全方位的智慧化服务，使园区成为战略性新兴产业发展的重要引擎和载体。</w:t>
      </w:r>
    </w:p>
    <w:p>
      <w:pPr>
        <w:pStyle w:val="3"/>
      </w:pPr>
      <w:bookmarkStart w:id="81" w:name="_Toc507683754"/>
      <w:r>
        <w:rPr>
          <w:rFonts w:hint="eastAsia"/>
        </w:rPr>
        <w:t>七、开放合作深化行动</w:t>
      </w:r>
      <w:bookmarkEnd w:id="81"/>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开放合作是突破性发展战略性新兴产业的重要途径。通过实施精准招商、深化区域经济合作、提高产业国际化水平，因地制宜招引一批自主创新能力强、研发投入大、符合产业导向的战略性新兴产业重大项目，带动产业跨越式发展。</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2" w:name="_Toc507683755"/>
      <w:r>
        <w:rPr>
          <w:rFonts w:hint="eastAsia" w:ascii="宋体" w:hAnsi="宋体" w:eastAsia="宋体" w:cs="Times New Roman"/>
          <w:color w:val="000000"/>
          <w:kern w:val="0"/>
          <w:lang w:val="zh-CN"/>
        </w:rPr>
        <w:t>（一）实施精准招商</w:t>
      </w:r>
      <w:bookmarkEnd w:id="8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根据全市战略性新兴产业发展整体空间布局要求，</w:t>
      </w:r>
      <w:r>
        <w:rPr>
          <w:rFonts w:ascii="仿宋_GB2312" w:hAnsi="Times New Roman" w:eastAsia="仿宋_GB2312" w:cs="Times New Roman"/>
          <w:snapToGrid w:val="0"/>
          <w:kern w:val="0"/>
          <w:sz w:val="30"/>
          <w:szCs w:val="30"/>
        </w:rPr>
        <w:t>围绕重点发展领域，深化与央企、国内知名企业的合作，瞄准世界和国内500强企业、跨国公司、行业龙头企业，有针对性地开展产业对接活动，着力引进关联度大、带动力强、技术含量高、上下游衔接好的综合性项目，组织实施一批具有发展前景和辐射带动作用的重大产业项目，抢占产业制高点。</w:t>
      </w:r>
      <w:r>
        <w:rPr>
          <w:rFonts w:hint="eastAsia" w:ascii="仿宋_GB2312" w:hAnsi="Times New Roman" w:eastAsia="仿宋_GB2312" w:cs="Times New Roman"/>
          <w:snapToGrid w:val="0"/>
          <w:kern w:val="0"/>
          <w:sz w:val="30"/>
          <w:szCs w:val="30"/>
        </w:rPr>
        <w:t>鼓励有条件的企业积极与国内外大公司、大财团对接，以产权换资金，以存量换增量，以市场换技术，为龙头企业创造条件吸引有合作关系的战略性新兴产业企业落户我市。</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3" w:name="_Toc507683756"/>
      <w:r>
        <w:rPr>
          <w:rFonts w:hint="eastAsia" w:ascii="宋体" w:hAnsi="宋体" w:eastAsia="宋体" w:cs="Times New Roman"/>
          <w:color w:val="000000"/>
          <w:kern w:val="0"/>
          <w:lang w:val="zh-CN"/>
        </w:rPr>
        <w:t>（二）深化区域经济合作</w:t>
      </w:r>
      <w:bookmarkEnd w:id="83"/>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坚持互利共赢和“引进来、走出去”的开放战略，以技术、人才、项目为载体，进一步扩大对外合作的深度和广度，支持开放式发展，加速技术流动，提高消化吸收再创新能力。积极参与珠江-西江经济带建设，加强与珠三角主要城市在新兴产业领域合作，推动以项目带动合作、以合作促进发展。深化粤桂黔高铁经济带产业合作，进一步发挥贵广高铁、南广高铁开通的优势，以“</w:t>
      </w:r>
      <w:r>
        <w:rPr>
          <w:rFonts w:ascii="仿宋_GB2312" w:hAnsi="Times New Roman" w:eastAsia="仿宋_GB2312" w:cs="Times New Roman"/>
          <w:snapToGrid w:val="0"/>
          <w:kern w:val="0"/>
          <w:sz w:val="30"/>
          <w:szCs w:val="30"/>
        </w:rPr>
        <w:t>粤桂黔高铁经济带合作试验区</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广西园（柳州）</w:t>
      </w:r>
      <w:r>
        <w:rPr>
          <w:rFonts w:hint="eastAsia" w:ascii="仿宋_GB2312" w:hAnsi="Times New Roman" w:eastAsia="仿宋_GB2312" w:cs="Times New Roman"/>
          <w:snapToGrid w:val="0"/>
          <w:kern w:val="0"/>
          <w:sz w:val="30"/>
          <w:szCs w:val="30"/>
        </w:rPr>
        <w:t>为载体，进一步深化与沿线城市在科技创新等方面的合作，在互惠互利的基础上共同发展战略性新兴产业。</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4" w:name="_Toc507683757"/>
      <w:r>
        <w:rPr>
          <w:rFonts w:hint="eastAsia" w:ascii="宋体" w:hAnsi="宋体" w:eastAsia="宋体" w:cs="Times New Roman"/>
          <w:color w:val="000000"/>
          <w:kern w:val="0"/>
          <w:lang w:val="zh-CN"/>
        </w:rPr>
        <w:t>（三）提高产业国际化水平</w:t>
      </w:r>
      <w:bookmarkEnd w:id="8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支持企业开拓国际市场，鼓励龙头企业在更大范围、更高层次上参与战略性新兴产业的国际分工与合作，实现优势互补，共赢发展。聚焦产业链高端，大力引进国际龙头企业和研发机构在我市设立地区总部和研发中心，引导外资投向战略性新兴产业，促进引资、引技与引智相结合。积极融入“一带一路”国家战略，充分发挥柳州市地缘优势和新兴产业基础，利用</w:t>
      </w:r>
      <w:r>
        <w:rPr>
          <w:rFonts w:ascii="仿宋_GB2312" w:hAnsi="Times New Roman" w:eastAsia="仿宋_GB2312" w:cs="Times New Roman"/>
          <w:snapToGrid w:val="0"/>
          <w:kern w:val="0"/>
          <w:sz w:val="30"/>
          <w:szCs w:val="30"/>
        </w:rPr>
        <w:t>中国-东盟博览会</w:t>
      </w:r>
      <w:r>
        <w:rPr>
          <w:rFonts w:hint="eastAsia" w:ascii="仿宋_GB2312" w:hAnsi="Times New Roman" w:eastAsia="仿宋_GB2312" w:cs="Times New Roman"/>
          <w:snapToGrid w:val="0"/>
          <w:kern w:val="0"/>
          <w:sz w:val="30"/>
          <w:szCs w:val="30"/>
        </w:rPr>
        <w:t>平台，推进特色产业合作、科技合作和人才合作。鼓励战略性新兴产业企业抱团开拓国际市场，提高竞争能力，充分利用国际市场发展我市战略性新兴产业。</w:t>
      </w:r>
    </w:p>
    <w:p>
      <w:pPr>
        <w:pStyle w:val="3"/>
      </w:pPr>
      <w:bookmarkStart w:id="85" w:name="_Toc507683758"/>
      <w:r>
        <w:rPr>
          <w:rFonts w:hint="eastAsia"/>
        </w:rPr>
        <w:t>八、绿色制造实施行动</w:t>
      </w:r>
      <w:bookmarkEnd w:id="8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绿色制造是加快推进战略性新兴产业发展的着力点，通过加快创建绿色园区、加快培育绿色企业、加快发展绿色产品，力争在战略性新兴产业领域绿色制造领域取得突破，引领带动战略性新兴产业高效清洁低碳循环和可持续发展。</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6" w:name="_Toc507683759"/>
      <w:r>
        <w:rPr>
          <w:rFonts w:hint="eastAsia" w:ascii="宋体" w:hAnsi="宋体" w:eastAsia="宋体" w:cs="Times New Roman"/>
          <w:color w:val="000000"/>
          <w:kern w:val="0"/>
          <w:lang w:val="zh-CN"/>
        </w:rPr>
        <w:t>（一）加快创建绿色园区</w:t>
      </w:r>
      <w:bookmarkEnd w:id="86"/>
    </w:p>
    <w:p>
      <w:pPr>
        <w:spacing w:line="560" w:lineRule="exact"/>
        <w:ind w:firstLine="600" w:firstLineChars="200"/>
        <w:rPr>
          <w:rFonts w:ascii="仿宋" w:hAnsi="仿宋" w:eastAsia="仿宋" w:cs="Times New Roman"/>
          <w:sz w:val="32"/>
          <w:szCs w:val="32"/>
        </w:rPr>
      </w:pPr>
      <w:r>
        <w:rPr>
          <w:rFonts w:hint="eastAsia" w:ascii="仿宋_GB2312" w:hAnsi="Times New Roman" w:eastAsia="仿宋_GB2312" w:cs="Times New Roman"/>
          <w:snapToGrid w:val="0"/>
          <w:kern w:val="0"/>
          <w:sz w:val="30"/>
          <w:szCs w:val="30"/>
        </w:rPr>
        <w:t>大力发展绿色制造，积极推进生态园区建设，</w:t>
      </w:r>
      <w:r>
        <w:rPr>
          <w:rFonts w:ascii="仿宋_GB2312" w:hAnsi="Times New Roman" w:eastAsia="仿宋_GB2312" w:cs="Times New Roman"/>
          <w:snapToGrid w:val="0"/>
          <w:kern w:val="0"/>
          <w:sz w:val="30"/>
          <w:szCs w:val="30"/>
        </w:rPr>
        <w:t>科学合理</w:t>
      </w:r>
      <w:r>
        <w:rPr>
          <w:rFonts w:hint="eastAsia" w:ascii="仿宋_GB2312" w:hAnsi="Times New Roman" w:eastAsia="仿宋_GB2312" w:cs="Times New Roman"/>
          <w:snapToGrid w:val="0"/>
          <w:kern w:val="0"/>
          <w:sz w:val="30"/>
          <w:szCs w:val="30"/>
        </w:rPr>
        <w:t>规划</w:t>
      </w:r>
      <w:r>
        <w:rPr>
          <w:rFonts w:ascii="仿宋_GB2312" w:hAnsi="Times New Roman" w:eastAsia="仿宋_GB2312" w:cs="Times New Roman"/>
          <w:snapToGrid w:val="0"/>
          <w:kern w:val="0"/>
          <w:sz w:val="30"/>
          <w:szCs w:val="30"/>
        </w:rPr>
        <w:t>各类空间的规模、结构和布局，严把项目准入关和环评关，推进生态产业链之间的横向耦合，实现资源共享和产业共生</w:t>
      </w:r>
      <w:r>
        <w:rPr>
          <w:rFonts w:hint="eastAsia" w:ascii="仿宋_GB2312" w:hAnsi="Times New Roman" w:eastAsia="仿宋_GB2312" w:cs="Times New Roman"/>
          <w:snapToGrid w:val="0"/>
          <w:kern w:val="0"/>
          <w:sz w:val="30"/>
          <w:szCs w:val="30"/>
        </w:rPr>
        <w:t>。完善园区排污、治污设施，开展立体绿化，建设绿色低碳交通，建设绿色环保产业园区。加快推进重点园区循环化改造和清洁生产，鼓励企业采用先进适用的技术、工艺和装备，从源头和过程削减污染物产生，全面提升企业清洁生产水平。</w:t>
      </w:r>
    </w:p>
    <w:p>
      <w:pPr>
        <w:pStyle w:val="4"/>
        <w:tabs>
          <w:tab w:val="left" w:pos="720"/>
        </w:tabs>
        <w:spacing w:before="120" w:after="120" w:line="240" w:lineRule="auto"/>
        <w:ind w:left="643"/>
        <w:rPr>
          <w:rFonts w:ascii="宋体" w:hAnsi="宋体" w:eastAsia="宋体" w:cs="Times New Roman"/>
          <w:color w:val="000000"/>
          <w:kern w:val="0"/>
          <w:lang w:val="zh-CN"/>
        </w:rPr>
      </w:pPr>
      <w:bookmarkStart w:id="87" w:name="_Toc507683760"/>
      <w:r>
        <w:rPr>
          <w:rFonts w:hint="eastAsia" w:ascii="宋体" w:hAnsi="宋体" w:eastAsia="宋体" w:cs="Times New Roman"/>
          <w:color w:val="000000"/>
          <w:kern w:val="0"/>
          <w:lang w:val="zh-CN"/>
        </w:rPr>
        <w:t>（二）加快培育绿色企业</w:t>
      </w:r>
      <w:bookmarkEnd w:id="87"/>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选择一批工作基础好、代表性强的企业开展绿色工厂创建，围绕绿色设计平台建设，绿色关键工艺突破，绿色供应链系统构建三个方向，从工厂规划、设备先型、工艺配置、员工意识等方面，全面推进绿色工厂建设。引导支持战略性新兴产业相关企业采用先进适用的清洁生产工艺技术和高效末端治理装备，淘汰落后设备，建立资源回收循环利用机制，推动用能结构优化，实现工厂的绿色发展，增强战略性新兴产业的可持续发展能力。</w:t>
      </w:r>
    </w:p>
    <w:p>
      <w:pPr>
        <w:pStyle w:val="4"/>
        <w:tabs>
          <w:tab w:val="left" w:pos="720"/>
        </w:tabs>
        <w:spacing w:before="120" w:after="120" w:line="240" w:lineRule="auto"/>
        <w:ind w:left="643"/>
        <w:rPr>
          <w:rFonts w:ascii="仿宋" w:hAnsi="仿宋" w:eastAsia="仿宋" w:cs="Times New Roman"/>
          <w:b w:val="0"/>
        </w:rPr>
      </w:pPr>
      <w:bookmarkStart w:id="88" w:name="_Toc507683761"/>
      <w:r>
        <w:rPr>
          <w:rFonts w:hint="eastAsia" w:ascii="宋体" w:hAnsi="宋体" w:eastAsia="宋体" w:cs="Times New Roman"/>
          <w:color w:val="000000"/>
          <w:kern w:val="0"/>
          <w:lang w:val="zh-CN"/>
        </w:rPr>
        <w:t>（三）加快发展绿色产品</w:t>
      </w:r>
      <w:bookmarkEnd w:id="88"/>
    </w:p>
    <w:p>
      <w:pPr>
        <w:spacing w:line="560" w:lineRule="exact"/>
        <w:ind w:firstLine="600" w:firstLineChars="200"/>
        <w:rPr>
          <w:rFonts w:ascii="仿宋_GB2312" w:hAnsi="Times New Roman" w:eastAsia="仿宋_GB2312" w:cs="Times New Roman"/>
          <w:snapToGrid w:val="0"/>
          <w:color w:val="FF0000"/>
          <w:kern w:val="0"/>
          <w:sz w:val="30"/>
          <w:szCs w:val="30"/>
        </w:rPr>
      </w:pPr>
      <w:r>
        <w:rPr>
          <w:rFonts w:hint="eastAsia" w:ascii="仿宋_GB2312" w:hAnsi="Times New Roman" w:eastAsia="仿宋_GB2312" w:cs="Times New Roman"/>
          <w:snapToGrid w:val="0"/>
          <w:kern w:val="0"/>
          <w:sz w:val="30"/>
          <w:szCs w:val="30"/>
        </w:rPr>
        <w:t>引导企业加大绿色产品的研发力度，推行生态设计，加快绿色材料、绿色工艺和绿色技术在产品中的应用，将循环、可持续发展体现到产品整个生命周期。大力推广绿色技术和低碳技术，选择量大面广、与消费者紧密相关、条件成熟的产品，应用产品轻量化、模块化、集成化、智能化等绿色设计共性技术，采用高性能、轻量化、绿色环保的新材料，开发具有无害化、节能、环保、高可靠性、长寿命和易回收等特性的绿色产品。</w:t>
      </w:r>
    </w:p>
    <w:p>
      <w:pPr>
        <w:pStyle w:val="3"/>
      </w:pPr>
      <w:bookmarkStart w:id="89" w:name="_Toc507683762"/>
      <w:r>
        <w:rPr>
          <w:rFonts w:hint="eastAsia"/>
        </w:rPr>
        <w:t>九、军民深度融合行动</w:t>
      </w:r>
      <w:bookmarkEnd w:id="8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军民融合是战略性新兴产业发展的新模式，通过推进军民技术双向转化、加快军民融合科技创新、加强军民融合项目建设，促进军工企业与民用企业深度合作，形成战略性新兴产业发展与国防工业良性互动的局面。</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0" w:name="_Toc507683763"/>
      <w:r>
        <w:rPr>
          <w:rFonts w:hint="eastAsia" w:ascii="宋体" w:hAnsi="宋体" w:eastAsia="宋体" w:cs="Times New Roman"/>
          <w:color w:val="000000"/>
          <w:kern w:val="0"/>
          <w:lang w:val="zh-CN"/>
        </w:rPr>
        <w:t>（一）推进军民技术双向转化</w:t>
      </w:r>
      <w:bookmarkEnd w:id="9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构建统筹协调、需求对接、资源共享的军民融合运行体系，完善军民技术双向转化机制，支持军民技术相互有效利用。支持军工单位以市场为导向，以成熟技术为支撑，利用技术和产品优势，通过对外合作、收购重组、参股等方式组建新公司，实现投资主体多元化，推进军工技术向民用产品转化。扶持和引导民用企业参与军品科研生产任务竞争和项目合作，鼓励我市通信、电子、船舶、爆破器材、特种材料等军工行业，实施军民结合特色品牌战略，引导和帮助企业结合市场、产业以及自身特点发展民用产品。</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1" w:name="_Toc507683764"/>
      <w:r>
        <w:rPr>
          <w:rFonts w:hint="eastAsia" w:ascii="宋体" w:hAnsi="宋体" w:eastAsia="宋体" w:cs="Times New Roman"/>
          <w:color w:val="000000"/>
          <w:kern w:val="0"/>
          <w:lang w:val="zh-CN"/>
        </w:rPr>
        <w:t>（二）加快军民融合科技创新</w:t>
      </w:r>
      <w:bookmarkEnd w:id="91"/>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鼓励和支持企业加大军民两用高技术研发投入，鼓励和支持军工企业与民用企业组织实施重大项目联合攻关，加强协作配套。支持军民通用设计、制造等先进工业技术的合作开发、双向服务与成果共享。围绕物联网、大数据、通讯设备和终端制造等产业，搭建军民融合技术创新和公共服务平台，共同研发突破新兴产业关键核心技术。鼓励我市企业、高校及科研院所加强与</w:t>
      </w:r>
      <w:r>
        <w:rPr>
          <w:rFonts w:ascii="仿宋_GB2312" w:hAnsi="Times New Roman" w:eastAsia="仿宋_GB2312" w:cs="Times New Roman"/>
          <w:snapToGrid w:val="0"/>
          <w:kern w:val="0"/>
          <w:sz w:val="30"/>
          <w:szCs w:val="30"/>
        </w:rPr>
        <w:t>柳州长虹机器制造公司</w:t>
      </w:r>
      <w:r>
        <w:rPr>
          <w:rFonts w:hint="eastAsia" w:ascii="仿宋_GB2312" w:hAnsi="Times New Roman" w:eastAsia="仿宋_GB2312" w:cs="Times New Roman"/>
          <w:snapToGrid w:val="0"/>
          <w:kern w:val="0"/>
          <w:sz w:val="30"/>
          <w:szCs w:val="30"/>
        </w:rPr>
        <w:t>、中船西江造船有限公司等军工企业合作，推进军地技术协作。</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2" w:name="_Toc507683765"/>
      <w:r>
        <w:rPr>
          <w:rFonts w:hint="eastAsia" w:ascii="宋体" w:hAnsi="宋体" w:eastAsia="宋体" w:cs="Times New Roman"/>
          <w:color w:val="000000"/>
          <w:kern w:val="0"/>
          <w:lang w:val="zh-CN"/>
        </w:rPr>
        <w:t>（三）加强军民融合项目建设</w:t>
      </w:r>
      <w:bookmarkEnd w:id="9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把握军工央企战略性调整机遇，争取更多“军民结合”技术型重大项目落户柳州。依托军工单位在航空航天、新一代信息技术、新材料、军用电子、北斗导航应用等领域的技术优势，</w:t>
      </w:r>
      <w:r>
        <w:rPr>
          <w:rFonts w:ascii="仿宋_GB2312" w:hAnsi="Times New Roman" w:eastAsia="仿宋_GB2312" w:cs="Times New Roman"/>
          <w:snapToGrid w:val="0"/>
          <w:kern w:val="0"/>
          <w:sz w:val="30"/>
          <w:szCs w:val="30"/>
        </w:rPr>
        <w:t>从共性技术研发、产业化应用示范、标准体系建设、平台设施共享等方面着手推进军民融合深度发展。统筹</w:t>
      </w:r>
      <w:r>
        <w:rPr>
          <w:rFonts w:hint="eastAsia" w:ascii="仿宋_GB2312" w:hAnsi="Times New Roman" w:eastAsia="仿宋_GB2312" w:cs="Times New Roman"/>
          <w:snapToGrid w:val="0"/>
          <w:kern w:val="0"/>
          <w:sz w:val="30"/>
          <w:szCs w:val="30"/>
        </w:rPr>
        <w:t>北斗导航</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航空航天新材料</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高端装备制造</w:t>
      </w:r>
      <w:r>
        <w:rPr>
          <w:rFonts w:ascii="仿宋_GB2312" w:hAnsi="Times New Roman" w:eastAsia="仿宋_GB2312" w:cs="Times New Roman"/>
          <w:snapToGrid w:val="0"/>
          <w:kern w:val="0"/>
          <w:sz w:val="30"/>
          <w:szCs w:val="30"/>
        </w:rPr>
        <w:t>、</w:t>
      </w:r>
      <w:r>
        <w:rPr>
          <w:rFonts w:hint="eastAsia" w:ascii="仿宋_GB2312" w:hAnsi="Times New Roman" w:eastAsia="仿宋_GB2312" w:cs="Times New Roman"/>
          <w:snapToGrid w:val="0"/>
          <w:kern w:val="0"/>
          <w:sz w:val="30"/>
          <w:szCs w:val="30"/>
        </w:rPr>
        <w:t>军用电子技术</w:t>
      </w:r>
      <w:r>
        <w:rPr>
          <w:rFonts w:ascii="仿宋_GB2312" w:hAnsi="Times New Roman" w:eastAsia="仿宋_GB2312" w:cs="Times New Roman"/>
          <w:snapToGrid w:val="0"/>
          <w:kern w:val="0"/>
          <w:sz w:val="30"/>
          <w:szCs w:val="30"/>
        </w:rPr>
        <w:t>等战略性重大项目布局，</w:t>
      </w:r>
      <w:r>
        <w:rPr>
          <w:rFonts w:hint="eastAsia" w:ascii="仿宋_GB2312" w:hAnsi="Times New Roman" w:eastAsia="仿宋_GB2312" w:cs="Times New Roman"/>
          <w:snapToGrid w:val="0"/>
          <w:kern w:val="0"/>
          <w:sz w:val="30"/>
          <w:szCs w:val="30"/>
        </w:rPr>
        <w:t>促进军工高新技术转化与产业化应用，推进柳州传统产业高端化、智能化发展。</w:t>
      </w:r>
    </w:p>
    <w:p>
      <w:pPr>
        <w:pStyle w:val="3"/>
        <w:rPr>
          <w:rFonts w:ascii="仿宋" w:hAnsi="仿宋" w:eastAsia="仿宋"/>
          <w:b/>
          <w:bCs w:val="0"/>
        </w:rPr>
      </w:pPr>
      <w:bookmarkStart w:id="93" w:name="_Toc507683766"/>
      <w:r>
        <w:rPr>
          <w:rFonts w:hint="eastAsia"/>
        </w:rPr>
        <w:t>十、专业人才培养行动</w:t>
      </w:r>
      <w:bookmarkEnd w:id="93"/>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人才是战略性新兴产业发展的第一要素和内生驱动力。通过加快培育企业家人才、大力培养专业技术人才、着力培育技能人才，着力构建以高端人才为引领、各类专业人才为支撑的人才高地，为战略性新兴产业发展提供强有力的智力支撑。</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4" w:name="_Toc507683767"/>
      <w:r>
        <w:rPr>
          <w:rFonts w:hint="eastAsia" w:ascii="宋体" w:hAnsi="宋体" w:eastAsia="宋体" w:cs="Times New Roman"/>
          <w:color w:val="000000"/>
          <w:kern w:val="0"/>
          <w:lang w:val="zh-CN"/>
        </w:rPr>
        <w:t>（一）加快培育企业家人才</w:t>
      </w:r>
      <w:bookmarkEnd w:id="94"/>
    </w:p>
    <w:p>
      <w:pPr>
        <w:spacing w:line="560" w:lineRule="exact"/>
        <w:ind w:firstLine="600" w:firstLineChars="200"/>
        <w:rPr>
          <w:rFonts w:ascii="仿宋" w:hAnsi="仿宋" w:eastAsia="仿宋" w:cs="Times New Roman"/>
          <w:bCs/>
          <w:sz w:val="32"/>
          <w:szCs w:val="32"/>
        </w:rPr>
      </w:pPr>
      <w:r>
        <w:rPr>
          <w:rFonts w:hint="eastAsia" w:ascii="仿宋_GB2312" w:hAnsi="Times New Roman" w:eastAsia="仿宋_GB2312" w:cs="Times New Roman"/>
          <w:snapToGrid w:val="0"/>
          <w:kern w:val="0"/>
          <w:sz w:val="30"/>
          <w:szCs w:val="30"/>
        </w:rPr>
        <w:t>强化企业发展主体地位，大力弘扬企业家精神，围绕战略性新兴产业领域，</w:t>
      </w:r>
      <w:r>
        <w:rPr>
          <w:rFonts w:ascii="仿宋_GB2312" w:hAnsi="Times New Roman" w:eastAsia="仿宋_GB2312" w:cs="Times New Roman"/>
          <w:snapToGrid w:val="0"/>
          <w:kern w:val="0"/>
          <w:sz w:val="30"/>
          <w:szCs w:val="30"/>
        </w:rPr>
        <w:t>以培养造就具有战略眼光、开拓精神、创新能力和社会责任感的</w:t>
      </w:r>
      <w:r>
        <w:rPr>
          <w:rFonts w:hint="eastAsia" w:ascii="仿宋_GB2312" w:hAnsi="Times New Roman" w:eastAsia="仿宋_GB2312" w:cs="Times New Roman"/>
          <w:snapToGrid w:val="0"/>
          <w:kern w:val="0"/>
          <w:sz w:val="30"/>
          <w:szCs w:val="30"/>
        </w:rPr>
        <w:t>优秀</w:t>
      </w:r>
      <w:r>
        <w:rPr>
          <w:rFonts w:ascii="仿宋_GB2312" w:hAnsi="Times New Roman" w:eastAsia="仿宋_GB2312" w:cs="Times New Roman"/>
          <w:snapToGrid w:val="0"/>
          <w:kern w:val="0"/>
          <w:sz w:val="30"/>
          <w:szCs w:val="30"/>
        </w:rPr>
        <w:t>企业家</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以及新生代企业家为重点，大力加强企业家队伍建设，全面提升企业家素质，推动企业做大做强做优</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通过加强培训、创新机制、打造平台、优化环境等措施，</w:t>
      </w:r>
      <w:r>
        <w:rPr>
          <w:rFonts w:hint="eastAsia" w:ascii="仿宋_GB2312" w:hAnsi="Times New Roman" w:eastAsia="仿宋_GB2312" w:cs="Times New Roman"/>
          <w:snapToGrid w:val="0"/>
          <w:kern w:val="0"/>
          <w:sz w:val="30"/>
          <w:szCs w:val="30"/>
        </w:rPr>
        <w:t>促进</w:t>
      </w:r>
      <w:r>
        <w:rPr>
          <w:rFonts w:ascii="仿宋_GB2312" w:hAnsi="Times New Roman" w:eastAsia="仿宋_GB2312" w:cs="Times New Roman"/>
          <w:snapToGrid w:val="0"/>
          <w:kern w:val="0"/>
          <w:sz w:val="30"/>
          <w:szCs w:val="30"/>
        </w:rPr>
        <w:t>全市科技型、知识型、创新型企业家和创新创业团队</w:t>
      </w:r>
      <w:r>
        <w:rPr>
          <w:rFonts w:hint="eastAsia" w:ascii="仿宋_GB2312" w:hAnsi="Times New Roman" w:eastAsia="仿宋_GB2312" w:cs="Times New Roman"/>
          <w:snapToGrid w:val="0"/>
          <w:kern w:val="0"/>
          <w:sz w:val="30"/>
          <w:szCs w:val="30"/>
        </w:rPr>
        <w:t>培养</w:t>
      </w:r>
      <w:r>
        <w:rPr>
          <w:rFonts w:ascii="仿宋_GB2312" w:hAnsi="Times New Roman" w:eastAsia="仿宋_GB2312" w:cs="Times New Roman"/>
          <w:snapToGrid w:val="0"/>
          <w:kern w:val="0"/>
          <w:sz w:val="30"/>
          <w:szCs w:val="30"/>
        </w:rPr>
        <w:t>，形成一支高素质的新型企业家队伍及企业家后备人才队伍</w:t>
      </w:r>
      <w:r>
        <w:rPr>
          <w:rFonts w:hint="eastAsia" w:ascii="仿宋_GB2312" w:hAnsi="Times New Roman" w:eastAsia="仿宋_GB2312" w:cs="Times New Roman"/>
          <w:snapToGrid w:val="0"/>
          <w:kern w:val="0"/>
          <w:sz w:val="30"/>
          <w:szCs w:val="30"/>
        </w:rPr>
        <w:t>，为</w:t>
      </w:r>
      <w:r>
        <w:rPr>
          <w:rFonts w:ascii="仿宋_GB2312" w:hAnsi="Times New Roman" w:eastAsia="仿宋_GB2312" w:cs="Times New Roman"/>
          <w:snapToGrid w:val="0"/>
          <w:kern w:val="0"/>
          <w:sz w:val="30"/>
          <w:szCs w:val="30"/>
        </w:rPr>
        <w:t>推动</w:t>
      </w:r>
      <w:r>
        <w:rPr>
          <w:rFonts w:hint="eastAsia" w:ascii="仿宋_GB2312" w:hAnsi="Times New Roman" w:eastAsia="仿宋_GB2312" w:cs="Times New Roman"/>
          <w:snapToGrid w:val="0"/>
          <w:kern w:val="0"/>
          <w:sz w:val="30"/>
          <w:szCs w:val="30"/>
        </w:rPr>
        <w:t>战略性新兴产业</w:t>
      </w:r>
      <w:r>
        <w:rPr>
          <w:rFonts w:ascii="仿宋_GB2312" w:hAnsi="Times New Roman" w:eastAsia="仿宋_GB2312" w:cs="Times New Roman"/>
          <w:snapToGrid w:val="0"/>
          <w:kern w:val="0"/>
          <w:sz w:val="30"/>
          <w:szCs w:val="30"/>
        </w:rPr>
        <w:t>发展提供坚强的人才支撑。</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5" w:name="_Toc507683768"/>
      <w:r>
        <w:rPr>
          <w:rFonts w:hint="eastAsia" w:ascii="宋体" w:hAnsi="宋体" w:eastAsia="宋体" w:cs="Times New Roman"/>
          <w:color w:val="000000"/>
          <w:kern w:val="0"/>
          <w:lang w:val="zh-CN"/>
        </w:rPr>
        <w:t>（二）着力引培专业技术人才</w:t>
      </w:r>
      <w:bookmarkEnd w:id="95"/>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根据战略性新兴产业需求，</w:t>
      </w:r>
      <w:r>
        <w:rPr>
          <w:rFonts w:ascii="仿宋_GB2312" w:hAnsi="Times New Roman" w:eastAsia="仿宋_GB2312" w:cs="Times New Roman"/>
          <w:snapToGrid w:val="0"/>
          <w:kern w:val="0"/>
          <w:sz w:val="30"/>
          <w:szCs w:val="30"/>
        </w:rPr>
        <w:t>因地制宜以企业为主体、市场为导向、产学研一体协同培养本</w:t>
      </w:r>
      <w:r>
        <w:rPr>
          <w:rFonts w:hint="eastAsia" w:ascii="仿宋_GB2312" w:hAnsi="Times New Roman" w:eastAsia="仿宋_GB2312" w:cs="Times New Roman"/>
          <w:snapToGrid w:val="0"/>
          <w:kern w:val="0"/>
          <w:sz w:val="30"/>
          <w:szCs w:val="30"/>
        </w:rPr>
        <w:t>地</w:t>
      </w:r>
      <w:r>
        <w:rPr>
          <w:rFonts w:ascii="仿宋_GB2312" w:hAnsi="Times New Roman" w:eastAsia="仿宋_GB2312" w:cs="Times New Roman"/>
          <w:snapToGrid w:val="0"/>
          <w:kern w:val="0"/>
          <w:sz w:val="30"/>
          <w:szCs w:val="30"/>
        </w:rPr>
        <w:t>战略新兴产业</w:t>
      </w:r>
      <w:r>
        <w:rPr>
          <w:rFonts w:hint="eastAsia" w:ascii="仿宋_GB2312" w:hAnsi="Times New Roman" w:eastAsia="仿宋_GB2312" w:cs="Times New Roman"/>
          <w:snapToGrid w:val="0"/>
          <w:kern w:val="0"/>
          <w:sz w:val="30"/>
          <w:szCs w:val="30"/>
        </w:rPr>
        <w:t>专业技术</w:t>
      </w:r>
      <w:r>
        <w:rPr>
          <w:rFonts w:ascii="仿宋_GB2312" w:hAnsi="Times New Roman" w:eastAsia="仿宋_GB2312" w:cs="Times New Roman"/>
          <w:snapToGrid w:val="0"/>
          <w:kern w:val="0"/>
          <w:sz w:val="30"/>
          <w:szCs w:val="30"/>
        </w:rPr>
        <w:t>人才</w:t>
      </w:r>
      <w:r>
        <w:rPr>
          <w:rFonts w:hint="eastAsia" w:ascii="仿宋_GB2312" w:hAnsi="Times New Roman" w:eastAsia="仿宋_GB2312" w:cs="Times New Roman"/>
          <w:snapToGrid w:val="0"/>
          <w:kern w:val="0"/>
          <w:sz w:val="30"/>
          <w:szCs w:val="30"/>
        </w:rPr>
        <w:t>。充分发挥区内高等院校、科研院所、职业学校以及有关社会机构的作用，推动国际国内交流合作，引进一批高层次专业技术人才及创新团队。完善</w:t>
      </w:r>
      <w:r>
        <w:rPr>
          <w:rFonts w:ascii="仿宋_GB2312" w:hAnsi="Times New Roman" w:eastAsia="仿宋_GB2312" w:cs="Times New Roman"/>
          <w:snapToGrid w:val="0"/>
          <w:kern w:val="0"/>
          <w:sz w:val="30"/>
          <w:szCs w:val="30"/>
        </w:rPr>
        <w:t>适应区域战略性新兴产业发展的人才需求预测机制</w:t>
      </w:r>
      <w:r>
        <w:rPr>
          <w:rFonts w:hint="eastAsia" w:ascii="仿宋_GB2312" w:hAnsi="Times New Roman" w:eastAsia="仿宋_GB2312" w:cs="Times New Roman"/>
          <w:snapToGrid w:val="0"/>
          <w:kern w:val="0"/>
          <w:sz w:val="30"/>
          <w:szCs w:val="30"/>
        </w:rPr>
        <w:t>，加强战略性新兴产业人才发展统筹规划和分类指导，鼓励战略性新兴产业企业引进急需紧缺的专业技术人才。推动企业建立院士工作站、博士后工作站及博士后创新实践基地，着力培养一批科技型、复合型专业技术人才。</w:t>
      </w:r>
    </w:p>
    <w:p>
      <w:pPr>
        <w:pStyle w:val="4"/>
        <w:tabs>
          <w:tab w:val="left" w:pos="720"/>
        </w:tabs>
        <w:spacing w:before="120" w:after="120" w:line="240" w:lineRule="auto"/>
        <w:ind w:left="643"/>
        <w:rPr>
          <w:rFonts w:ascii="宋体" w:hAnsi="宋体" w:eastAsia="宋体" w:cs="Times New Roman"/>
          <w:color w:val="000000"/>
          <w:kern w:val="0"/>
          <w:lang w:val="zh-CN"/>
        </w:rPr>
      </w:pPr>
      <w:bookmarkStart w:id="96" w:name="_Toc507683769"/>
      <w:r>
        <w:rPr>
          <w:rFonts w:hint="eastAsia" w:ascii="宋体" w:hAnsi="宋体" w:eastAsia="宋体" w:cs="Times New Roman"/>
          <w:color w:val="000000"/>
          <w:kern w:val="0"/>
          <w:lang w:val="zh-CN"/>
        </w:rPr>
        <w:t>（三）大力培养技能人才</w:t>
      </w:r>
      <w:bookmarkEnd w:id="9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加强本地职业教育，积极推动校企合作，鼓励学校与企业通过合作培养、订单式培养、建立校外实习实训基地等方式培养新兴产业专业技能人才，逐渐形成“工学结合、学训交替”的战略性新兴产业技能人才培养新模式。</w:t>
      </w:r>
      <w:r>
        <w:rPr>
          <w:rFonts w:ascii="仿宋_GB2312" w:hAnsi="Times New Roman" w:eastAsia="仿宋_GB2312" w:cs="Times New Roman"/>
          <w:snapToGrid w:val="0"/>
          <w:kern w:val="0"/>
          <w:sz w:val="30"/>
          <w:szCs w:val="30"/>
        </w:rPr>
        <w:t>根据战略性新兴产业发展需求提供政策扶持</w:t>
      </w:r>
      <w:r>
        <w:rPr>
          <w:rFonts w:hint="eastAsia" w:ascii="仿宋_GB2312" w:hAnsi="Times New Roman" w:eastAsia="仿宋_GB2312" w:cs="Times New Roman"/>
          <w:snapToGrid w:val="0"/>
          <w:kern w:val="0"/>
          <w:sz w:val="30"/>
          <w:szCs w:val="30"/>
        </w:rPr>
        <w:t>，依托各类职业技术院校，研究设置有关战略性新兴产业方面的专业，有针对性地开设新专业，优化教学资源配置，使技能人才培养与战略性新兴产业发展对专业人才需求无缝链接，着力培育一批面向生产一线的、操作型技能人才。</w:t>
      </w:r>
    </w:p>
    <w:p/>
    <w:p/>
    <w:p/>
    <w:p/>
    <w:p/>
    <w:p/>
    <w:p/>
    <w:p/>
    <w:p/>
    <w:p/>
    <w:p/>
    <w:p/>
    <w:p/>
    <w:p/>
    <w:p/>
    <w:p>
      <w:pPr>
        <w:pStyle w:val="2"/>
        <w:widowControl w:val="0"/>
        <w:adjustRightInd/>
        <w:snapToGrid/>
        <w:spacing w:before="240" w:after="240"/>
        <w:rPr>
          <w:rFonts w:ascii="华文中宋" w:hAnsi="华文中宋" w:eastAsia="华文中宋"/>
          <w:szCs w:val="36"/>
        </w:rPr>
      </w:pPr>
      <w:bookmarkStart w:id="97" w:name="_Toc507683770"/>
      <w:r>
        <w:rPr>
          <w:rFonts w:hint="eastAsia" w:ascii="华文中宋" w:hAnsi="华文中宋" w:eastAsia="华文中宋"/>
          <w:szCs w:val="36"/>
        </w:rPr>
        <w:t>第六章 政策措施</w:t>
      </w:r>
      <w:bookmarkEnd w:id="97"/>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完善健全</w:t>
      </w:r>
      <w:r>
        <w:rPr>
          <w:rFonts w:ascii="仿宋_GB2312" w:hAnsi="Times New Roman" w:eastAsia="仿宋_GB2312" w:cs="Times New Roman"/>
          <w:snapToGrid w:val="0"/>
          <w:kern w:val="0"/>
          <w:sz w:val="30"/>
          <w:szCs w:val="30"/>
        </w:rPr>
        <w:t>保障规划实施的</w:t>
      </w:r>
      <w:r>
        <w:rPr>
          <w:rFonts w:hint="eastAsia" w:ascii="仿宋_GB2312" w:hAnsi="Times New Roman" w:eastAsia="仿宋_GB2312" w:cs="Times New Roman"/>
          <w:snapToGrid w:val="0"/>
          <w:kern w:val="0"/>
          <w:sz w:val="30"/>
          <w:szCs w:val="30"/>
        </w:rPr>
        <w:t>财税扶持、金融支持、土地供给、科技支撑、人才发展等</w:t>
      </w:r>
      <w:r>
        <w:rPr>
          <w:rFonts w:ascii="仿宋_GB2312" w:hAnsi="Times New Roman" w:eastAsia="仿宋_GB2312" w:cs="Times New Roman"/>
          <w:snapToGrid w:val="0"/>
          <w:kern w:val="0"/>
          <w:sz w:val="30"/>
          <w:szCs w:val="30"/>
        </w:rPr>
        <w:t>长效机制，</w:t>
      </w:r>
      <w:r>
        <w:rPr>
          <w:rFonts w:hint="eastAsia" w:ascii="仿宋_GB2312" w:hAnsi="Times New Roman" w:eastAsia="仿宋_GB2312" w:cs="Times New Roman"/>
          <w:snapToGrid w:val="0"/>
          <w:kern w:val="0"/>
          <w:sz w:val="30"/>
          <w:szCs w:val="30"/>
        </w:rPr>
        <w:t>确保</w:t>
      </w:r>
      <w:r>
        <w:rPr>
          <w:rFonts w:ascii="仿宋_GB2312" w:hAnsi="Times New Roman" w:eastAsia="仿宋_GB2312" w:cs="Times New Roman"/>
          <w:snapToGrid w:val="0"/>
          <w:kern w:val="0"/>
          <w:sz w:val="30"/>
          <w:szCs w:val="30"/>
        </w:rPr>
        <w:t>规划实施取得明显成效</w:t>
      </w:r>
      <w:r>
        <w:rPr>
          <w:rFonts w:hint="eastAsia" w:ascii="仿宋_GB2312" w:hAnsi="Times New Roman" w:eastAsia="仿宋_GB2312" w:cs="Times New Roman"/>
          <w:snapToGrid w:val="0"/>
          <w:kern w:val="0"/>
          <w:sz w:val="30"/>
          <w:szCs w:val="30"/>
        </w:rPr>
        <w:t>。</w:t>
      </w:r>
    </w:p>
    <w:p>
      <w:pPr>
        <w:pStyle w:val="3"/>
      </w:pPr>
      <w:bookmarkStart w:id="98" w:name="_Toc507683771"/>
      <w:r>
        <w:rPr>
          <w:rFonts w:hint="eastAsia"/>
        </w:rPr>
        <w:t>一、强化财税扶持</w:t>
      </w:r>
      <w:bookmarkEnd w:id="98"/>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统筹各级政府投资引导基金向战略性新兴产业倾斜，综合运用参股基金、直接股权投资、联合投资、政府出资让利等多种方式，引导社会资本、产业资本、金融资本投资战略性新兴产业。柳州市政府投资引导基金、两创新创业引导基金向战略性新兴产业倾斜，优先扶持战略性新兴产业发展。加强与广西政府投资引导基金对接，争取支持形成加快推动我市科技创新和战略性新兴产业发展的资金合力，促进柳州市在战略性新兴产业领域实现新突破，取得新成效。全面落实国家税收优惠政策、清理各种不合理收费，切实减轻企业负担。</w:t>
      </w:r>
    </w:p>
    <w:p>
      <w:pPr>
        <w:pStyle w:val="3"/>
      </w:pPr>
      <w:bookmarkStart w:id="99" w:name="_Toc507683772"/>
      <w:r>
        <w:rPr>
          <w:rFonts w:hint="eastAsia"/>
        </w:rPr>
        <w:t>二、创新金融支持</w:t>
      </w:r>
      <w:bookmarkEnd w:id="99"/>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加强政银企合作，建立完善政府与金融机构合作机制。鼓励发展战略性新兴产业专项信贷业务，扩大“惠企贷”引导资金规模。在风险可控条件下创新担保方式，支持企业以专利、商标等无形资产以及应收账款等进行贷款质押担保。完善投融资机制，支持融资担保机构开展战略性新兴产业融资担保和再担保业务。鼓励银行机构针对战略性新兴产业企业开展专利权、商标权、版权等知识产权质押业务。支持企业上市融资，推动一批战略性新兴产业企业在主板、中小板、创业板等各板实现上市。支持战略性新兴产业企业发行企业债、公司债、短期融资券、中期票据、中小企业私募债等债务融资。</w:t>
      </w:r>
    </w:p>
    <w:p>
      <w:pPr>
        <w:pStyle w:val="3"/>
      </w:pPr>
      <w:bookmarkStart w:id="100" w:name="_Toc507683773"/>
      <w:r>
        <w:rPr>
          <w:rFonts w:hint="eastAsia"/>
        </w:rPr>
        <w:t>三、完善土地供给</w:t>
      </w:r>
      <w:bookmarkEnd w:id="100"/>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创新战略性新兴产业用地供给模式，优先安排战略性新兴产业发展用地，年度新增建设用地指标适度向战略性新兴产业集聚区倾斜。经认定的战略性新兴产业项目，按照《柳州市工业用地出让管理的若干规定》规定的土地出让价格供地。统筹安排工业用地指标，用好增量，盘活存量，提高集约化水平，切实保障战略性新兴产业发展用地。鼓励</w:t>
      </w:r>
      <w:r>
        <w:fldChar w:fldCharType="begin"/>
      </w:r>
      <w:r>
        <w:instrText xml:space="preserve"> HYPERLINK "http://www.ocn.com.cn/reports/1401zhongxiaoqiye.shtml" \t "_blank" </w:instrText>
      </w:r>
      <w:r>
        <w:fldChar w:fldCharType="separate"/>
      </w:r>
      <w:r>
        <w:rPr>
          <w:rFonts w:hint="eastAsia" w:ascii="仿宋_GB2312" w:hAnsi="Times New Roman" w:eastAsia="仿宋_GB2312" w:cs="Times New Roman"/>
          <w:snapToGrid w:val="0"/>
          <w:kern w:val="0"/>
          <w:sz w:val="30"/>
          <w:szCs w:val="30"/>
        </w:rPr>
        <w:t>中小企业</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以租赁等方式利用土地，积极推行先租后让、租让结合供应方式。引导土地用途兼容复合利用，支持标准厂房建设，推动战略性新兴产业向现有开发区、产业集中区布局，促进产城融合。鼓励在新一代信息技术、</w:t>
      </w:r>
      <w:r>
        <w:fldChar w:fldCharType="begin"/>
      </w:r>
      <w:r>
        <w:instrText xml:space="preserve"> HYPERLINK "http://www.ocn.com.cn/reports/1849zhinengzhuangbei.shtml" \t "_blank" </w:instrText>
      </w:r>
      <w:r>
        <w:fldChar w:fldCharType="separate"/>
      </w:r>
      <w:r>
        <w:rPr>
          <w:rFonts w:hint="eastAsia" w:ascii="仿宋_GB2312" w:hAnsi="Times New Roman" w:eastAsia="仿宋_GB2312" w:cs="Times New Roman"/>
          <w:snapToGrid w:val="0"/>
          <w:kern w:val="0"/>
          <w:sz w:val="30"/>
          <w:szCs w:val="30"/>
        </w:rPr>
        <w:t>智能装备</w:t>
      </w:r>
      <w:r>
        <w:rPr>
          <w:rFonts w:hint="eastAsia" w:ascii="仿宋_GB2312" w:hAnsi="Times New Roman" w:eastAsia="仿宋_GB2312" w:cs="Times New Roman"/>
          <w:snapToGrid w:val="0"/>
          <w:kern w:val="0"/>
          <w:sz w:val="30"/>
          <w:szCs w:val="30"/>
        </w:rPr>
        <w:fldChar w:fldCharType="end"/>
      </w:r>
      <w:r>
        <w:rPr>
          <w:rFonts w:hint="eastAsia" w:ascii="仿宋_GB2312" w:hAnsi="Times New Roman" w:eastAsia="仿宋_GB2312" w:cs="Times New Roman"/>
          <w:snapToGrid w:val="0"/>
          <w:kern w:val="0"/>
          <w:sz w:val="30"/>
          <w:szCs w:val="30"/>
        </w:rPr>
        <w:t>、生物制药等智力密集型战略性新兴产业领域，实行精细化土地定向开发，发展用地量小、产出高的楼宇经济。</w:t>
      </w:r>
    </w:p>
    <w:p>
      <w:pPr>
        <w:pStyle w:val="3"/>
      </w:pPr>
      <w:bookmarkStart w:id="101" w:name="_Toc507683774"/>
      <w:r>
        <w:rPr>
          <w:rFonts w:hint="eastAsia"/>
          <w:lang w:val="en-US"/>
        </w:rPr>
        <w:t>四</w:t>
      </w:r>
      <w:r>
        <w:rPr>
          <w:rFonts w:hint="eastAsia"/>
        </w:rPr>
        <w:t>、鼓励创新创业</w:t>
      </w:r>
      <w:bookmarkEnd w:id="101"/>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依托国家小微企业创业创新基地城市示范试点工作，用好支持小微企业创业创新空间建设、服务体系建设、融资、科技成果转化、创业带动就业、商事制度改革等方面的政策措施。选择一批基础设施完备、综合服务规范、创业创新带动作用强的基地、孵化器进行重点扶持建设。</w:t>
      </w:r>
    </w:p>
    <w:p>
      <w:pPr>
        <w:pStyle w:val="3"/>
      </w:pPr>
      <w:bookmarkStart w:id="102" w:name="_Toc507683775"/>
      <w:r>
        <w:rPr>
          <w:rFonts w:hint="eastAsia"/>
          <w:lang w:val="en-US"/>
        </w:rPr>
        <w:t>五</w:t>
      </w:r>
      <w:r>
        <w:rPr>
          <w:rFonts w:hint="eastAsia"/>
        </w:rPr>
        <w:t>、优化人才发展环境</w:t>
      </w:r>
      <w:bookmarkEnd w:id="102"/>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认真落实柳州市关于深化人才发展体制改革加快推进人才优先发展的各项政策。指导企业形成留人，育人，用人的机制，完善人才评价激励机制和服务保障体系，创新人才激励机制，开展战略性新兴产业股权和分红激励试点工作。营造有利于人人皆可成才和青年人才脱颖而出的社会环境，健全有利于人才向基层流动的政策体系。设立人才服务卡制度，对在柳州投资创业、符合条件的高级人才，发放人才服务卡，在住房、社保、医保、定居、子女教育等方面给予优先与便利服务。</w:t>
      </w: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widowControl/>
        <w:shd w:val="clear" w:color="auto" w:fill="FFFFFF"/>
        <w:spacing w:beforeLines="50" w:afterLines="50"/>
        <w:ind w:firstLine="600"/>
        <w:jc w:val="left"/>
        <w:rPr>
          <w:rFonts w:cs="宋体" w:eastAsiaTheme="minorHAnsi"/>
          <w:color w:val="0070C0"/>
          <w:kern w:val="0"/>
          <w:sz w:val="30"/>
          <w:szCs w:val="30"/>
        </w:rPr>
      </w:pPr>
    </w:p>
    <w:p>
      <w:pPr>
        <w:pStyle w:val="2"/>
        <w:widowControl w:val="0"/>
        <w:adjustRightInd/>
        <w:snapToGrid/>
        <w:spacing w:before="240" w:after="240"/>
        <w:rPr>
          <w:rFonts w:ascii="华文中宋" w:hAnsi="华文中宋" w:eastAsia="华文中宋"/>
          <w:szCs w:val="36"/>
        </w:rPr>
      </w:pPr>
      <w:bookmarkStart w:id="103" w:name="_Toc507683776"/>
      <w:r>
        <w:rPr>
          <w:rFonts w:hint="eastAsia" w:ascii="华文中宋" w:hAnsi="华文中宋" w:eastAsia="华文中宋"/>
          <w:szCs w:val="36"/>
        </w:rPr>
        <w:t>第七章 组织实施</w:t>
      </w:r>
      <w:bookmarkEnd w:id="103"/>
    </w:p>
    <w:p>
      <w:pPr>
        <w:spacing w:line="560" w:lineRule="exact"/>
        <w:ind w:firstLine="600" w:firstLineChars="200"/>
        <w:rPr>
          <w:rFonts w:cs="宋体" w:eastAsiaTheme="minorHAnsi"/>
          <w:color w:val="000000" w:themeColor="text1"/>
          <w:kern w:val="0"/>
          <w:sz w:val="30"/>
          <w:szCs w:val="30"/>
        </w:rPr>
      </w:pPr>
      <w:r>
        <w:rPr>
          <w:rFonts w:hint="eastAsia" w:ascii="仿宋_GB2312" w:hAnsi="Times New Roman" w:eastAsia="仿宋_GB2312" w:cs="Times New Roman"/>
          <w:snapToGrid w:val="0"/>
          <w:kern w:val="0"/>
          <w:sz w:val="30"/>
          <w:szCs w:val="30"/>
        </w:rPr>
        <w:t>通过加强统筹协调、加强规划引导、完善工作机制，更好地发挥</w:t>
      </w:r>
      <w:r>
        <w:rPr>
          <w:rFonts w:ascii="仿宋_GB2312" w:hAnsi="Times New Roman" w:eastAsia="仿宋_GB2312" w:cs="Times New Roman"/>
          <w:snapToGrid w:val="0"/>
          <w:kern w:val="0"/>
          <w:sz w:val="30"/>
          <w:szCs w:val="30"/>
        </w:rPr>
        <w:t>规划对</w:t>
      </w:r>
      <w:r>
        <w:rPr>
          <w:rFonts w:hint="eastAsia" w:ascii="仿宋_GB2312" w:hAnsi="Times New Roman" w:eastAsia="仿宋_GB2312" w:cs="Times New Roman"/>
          <w:snapToGrid w:val="0"/>
          <w:kern w:val="0"/>
          <w:sz w:val="30"/>
          <w:szCs w:val="30"/>
        </w:rPr>
        <w:t>战略性</w:t>
      </w:r>
      <w:r>
        <w:rPr>
          <w:rFonts w:ascii="仿宋_GB2312" w:hAnsi="Times New Roman" w:eastAsia="仿宋_GB2312" w:cs="Times New Roman"/>
          <w:snapToGrid w:val="0"/>
          <w:kern w:val="0"/>
          <w:sz w:val="30"/>
          <w:szCs w:val="30"/>
        </w:rPr>
        <w:t>新兴产业发展的</w:t>
      </w:r>
      <w:r>
        <w:rPr>
          <w:rFonts w:hint="eastAsia" w:ascii="仿宋_GB2312" w:hAnsi="Times New Roman" w:eastAsia="仿宋_GB2312" w:cs="Times New Roman"/>
          <w:snapToGrid w:val="0"/>
          <w:kern w:val="0"/>
          <w:sz w:val="30"/>
          <w:szCs w:val="30"/>
        </w:rPr>
        <w:t>指导作用。</w:t>
      </w:r>
    </w:p>
    <w:p>
      <w:pPr>
        <w:pStyle w:val="3"/>
      </w:pPr>
      <w:bookmarkStart w:id="104" w:name="_Toc507683777"/>
      <w:r>
        <w:rPr>
          <w:rFonts w:hint="eastAsia"/>
        </w:rPr>
        <w:t>一、</w:t>
      </w:r>
      <w:r>
        <w:t>加强</w:t>
      </w:r>
      <w:r>
        <w:rPr>
          <w:rFonts w:hint="eastAsia"/>
        </w:rPr>
        <w:t>统筹协调</w:t>
      </w:r>
      <w:bookmarkEnd w:id="104"/>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建立战略性新兴产业发展部门联动机制，对战略性新兴产业发展进行统筹协调，审定战略性新兴产业发展的总体规划、产业布局和扶持政策等，协调解决产业发展遇到的重大问题。</w:t>
      </w:r>
      <w:r>
        <w:rPr>
          <w:rFonts w:ascii="仿宋_GB2312" w:hAnsi="Times New Roman" w:eastAsia="仿宋_GB2312" w:cs="Times New Roman"/>
          <w:snapToGrid w:val="0"/>
          <w:kern w:val="0"/>
          <w:sz w:val="30"/>
          <w:szCs w:val="30"/>
        </w:rPr>
        <w:t>各</w:t>
      </w:r>
      <w:r>
        <w:rPr>
          <w:rFonts w:hint="eastAsia" w:ascii="仿宋_GB2312" w:hAnsi="Times New Roman" w:eastAsia="仿宋_GB2312" w:cs="Times New Roman"/>
          <w:snapToGrid w:val="0"/>
          <w:kern w:val="0"/>
          <w:sz w:val="30"/>
          <w:szCs w:val="30"/>
        </w:rPr>
        <w:t>县区</w:t>
      </w:r>
      <w:r>
        <w:rPr>
          <w:rFonts w:ascii="仿宋_GB2312" w:hAnsi="Times New Roman" w:eastAsia="仿宋_GB2312" w:cs="Times New Roman"/>
          <w:snapToGrid w:val="0"/>
          <w:kern w:val="0"/>
          <w:sz w:val="30"/>
          <w:szCs w:val="30"/>
        </w:rPr>
        <w:t>关部门要加强协调配合，整合要素资源，共同推动战略性新兴产业跨越发展。</w:t>
      </w:r>
    </w:p>
    <w:p>
      <w:pPr>
        <w:pStyle w:val="3"/>
      </w:pPr>
      <w:bookmarkStart w:id="105" w:name="_Toc507683778"/>
      <w:r>
        <w:rPr>
          <w:rFonts w:hint="eastAsia"/>
        </w:rPr>
        <w:t>二、</w:t>
      </w:r>
      <w:r>
        <w:t>加强规划引导</w:t>
      </w:r>
      <w:bookmarkEnd w:id="105"/>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充分发挥规划的前瞻性、战略性和指导性作用，注重加强引导、明确重点方向、打造产业链条、促进产业集聚，引领我市战略性新兴产业加快发展、科学发展。</w:t>
      </w:r>
      <w:r>
        <w:rPr>
          <w:rFonts w:hint="eastAsia" w:ascii="仿宋_GB2312" w:hAnsi="Times New Roman" w:eastAsia="仿宋_GB2312" w:cs="Times New Roman"/>
          <w:snapToGrid w:val="0"/>
          <w:kern w:val="0"/>
          <w:sz w:val="30"/>
          <w:szCs w:val="30"/>
        </w:rPr>
        <w:t>加强规划实施情况的跟踪分析，围绕全市战略性新兴产业发展规划的主要目标和重点任务，开展动态评估，及时调整和修订规划内容及指标，出台相关政策和实施细则，确保规划有效落实。</w:t>
      </w:r>
    </w:p>
    <w:p>
      <w:pPr>
        <w:pStyle w:val="3"/>
      </w:pPr>
      <w:bookmarkStart w:id="106" w:name="_Toc507683779"/>
      <w:r>
        <w:rPr>
          <w:rFonts w:hint="eastAsia"/>
        </w:rPr>
        <w:t>三、</w:t>
      </w:r>
      <w:r>
        <w:t>完善工作机制</w:t>
      </w:r>
      <w:bookmarkEnd w:id="106"/>
    </w:p>
    <w:p>
      <w:pPr>
        <w:spacing w:line="560" w:lineRule="exact"/>
        <w:ind w:firstLine="600" w:firstLineChars="200"/>
        <w:rPr>
          <w:rFonts w:ascii="仿宋_GB2312" w:hAnsi="Times New Roman" w:eastAsia="仿宋_GB2312" w:cs="Times New Roman"/>
          <w:snapToGrid w:val="0"/>
          <w:kern w:val="0"/>
          <w:sz w:val="30"/>
          <w:szCs w:val="30"/>
        </w:rPr>
      </w:pPr>
      <w:r>
        <w:rPr>
          <w:rFonts w:hint="eastAsia" w:ascii="仿宋_GB2312" w:hAnsi="Times New Roman" w:eastAsia="仿宋_GB2312" w:cs="Times New Roman"/>
          <w:snapToGrid w:val="0"/>
          <w:kern w:val="0"/>
          <w:sz w:val="30"/>
          <w:szCs w:val="30"/>
        </w:rPr>
        <w:t>完善</w:t>
      </w:r>
      <w:r>
        <w:rPr>
          <w:rFonts w:ascii="仿宋_GB2312" w:hAnsi="Times New Roman" w:eastAsia="仿宋_GB2312" w:cs="Times New Roman"/>
          <w:snapToGrid w:val="0"/>
          <w:kern w:val="0"/>
          <w:sz w:val="30"/>
          <w:szCs w:val="30"/>
        </w:rPr>
        <w:t>战略性新兴产业部门分工责任制度，各</w:t>
      </w:r>
      <w:r>
        <w:rPr>
          <w:rFonts w:hint="eastAsia" w:ascii="仿宋_GB2312" w:hAnsi="Times New Roman" w:eastAsia="仿宋_GB2312" w:cs="Times New Roman"/>
          <w:snapToGrid w:val="0"/>
          <w:kern w:val="0"/>
          <w:sz w:val="30"/>
          <w:szCs w:val="30"/>
        </w:rPr>
        <w:t>县区</w:t>
      </w:r>
      <w:r>
        <w:rPr>
          <w:rFonts w:ascii="仿宋_GB2312" w:hAnsi="Times New Roman" w:eastAsia="仿宋_GB2312" w:cs="Times New Roman"/>
          <w:snapToGrid w:val="0"/>
          <w:kern w:val="0"/>
          <w:sz w:val="30"/>
          <w:szCs w:val="30"/>
        </w:rPr>
        <w:t>有关部</w:t>
      </w:r>
      <w:r>
        <w:rPr>
          <w:rFonts w:hint="eastAsia" w:ascii="仿宋_GB2312" w:hAnsi="Times New Roman" w:eastAsia="仿宋_GB2312" w:cs="Times New Roman"/>
          <w:snapToGrid w:val="0"/>
          <w:kern w:val="0"/>
          <w:sz w:val="30"/>
          <w:szCs w:val="30"/>
        </w:rPr>
        <w:t>要</w:t>
      </w:r>
      <w:r>
        <w:rPr>
          <w:rFonts w:ascii="仿宋_GB2312" w:hAnsi="Times New Roman" w:eastAsia="仿宋_GB2312" w:cs="Times New Roman"/>
          <w:snapToGrid w:val="0"/>
          <w:kern w:val="0"/>
          <w:sz w:val="30"/>
          <w:szCs w:val="30"/>
        </w:rPr>
        <w:t>制定支持战略性新兴产业发展的具体政策措施，优化战略性新兴产业发展环境。建立战略性新兴产业统计指标监测体系和发布制度，加强战略性新兴产业统计分析工作，为适时调整、完善扶持政策提供决策参考。</w:t>
      </w:r>
    </w:p>
    <w:p>
      <w:pPr>
        <w:pStyle w:val="3"/>
      </w:pPr>
      <w:bookmarkStart w:id="107" w:name="_Toc507683780"/>
      <w:r>
        <w:rPr>
          <w:rFonts w:hint="eastAsia"/>
        </w:rPr>
        <w:t>四、加强督促考核</w:t>
      </w:r>
      <w:bookmarkEnd w:id="107"/>
    </w:p>
    <w:p>
      <w:pPr>
        <w:spacing w:line="560" w:lineRule="exact"/>
        <w:ind w:firstLine="600" w:firstLineChars="200"/>
        <w:rPr>
          <w:rFonts w:ascii="仿宋_GB2312" w:hAnsi="Times New Roman" w:eastAsia="仿宋_GB2312" w:cs="Times New Roman"/>
          <w:snapToGrid w:val="0"/>
          <w:kern w:val="0"/>
          <w:sz w:val="30"/>
          <w:szCs w:val="30"/>
        </w:rPr>
      </w:pPr>
      <w:r>
        <w:rPr>
          <w:rFonts w:ascii="仿宋_GB2312" w:hAnsi="Times New Roman" w:eastAsia="仿宋_GB2312" w:cs="Times New Roman"/>
          <w:snapToGrid w:val="0"/>
          <w:kern w:val="0"/>
          <w:sz w:val="30"/>
          <w:szCs w:val="30"/>
        </w:rPr>
        <w:t>建立督查制度，加大</w:t>
      </w:r>
      <w:r>
        <w:rPr>
          <w:rFonts w:hint="eastAsia" w:ascii="仿宋_GB2312" w:hAnsi="Times New Roman" w:eastAsia="仿宋_GB2312" w:cs="Times New Roman"/>
          <w:snapToGrid w:val="0"/>
          <w:kern w:val="0"/>
          <w:sz w:val="30"/>
          <w:szCs w:val="30"/>
        </w:rPr>
        <w:t>对战略性新兴产业发展</w:t>
      </w:r>
      <w:r>
        <w:rPr>
          <w:rFonts w:ascii="仿宋_GB2312" w:hAnsi="Times New Roman" w:eastAsia="仿宋_GB2312" w:cs="Times New Roman"/>
          <w:snapToGrid w:val="0"/>
          <w:kern w:val="0"/>
          <w:sz w:val="30"/>
          <w:szCs w:val="30"/>
        </w:rPr>
        <w:t>推进的督查力度</w:t>
      </w:r>
      <w:r>
        <w:rPr>
          <w:rFonts w:hint="eastAsia" w:ascii="仿宋_GB2312" w:hAnsi="Times New Roman" w:eastAsia="仿宋_GB2312" w:cs="Times New Roman"/>
          <w:snapToGrid w:val="0"/>
          <w:kern w:val="0"/>
          <w:sz w:val="30"/>
          <w:szCs w:val="30"/>
        </w:rPr>
        <w:t>，</w:t>
      </w:r>
      <w:r>
        <w:rPr>
          <w:rFonts w:ascii="仿宋_GB2312" w:hAnsi="Times New Roman" w:eastAsia="仿宋_GB2312" w:cs="Times New Roman"/>
          <w:snapToGrid w:val="0"/>
          <w:kern w:val="0"/>
          <w:sz w:val="30"/>
          <w:szCs w:val="30"/>
        </w:rPr>
        <w:t>对</w:t>
      </w:r>
      <w:r>
        <w:rPr>
          <w:rFonts w:hint="eastAsia" w:ascii="仿宋_GB2312" w:hAnsi="Times New Roman" w:eastAsia="仿宋_GB2312" w:cs="Times New Roman"/>
          <w:snapToGrid w:val="0"/>
          <w:kern w:val="0"/>
          <w:sz w:val="30"/>
          <w:szCs w:val="30"/>
        </w:rPr>
        <w:t>重大</w:t>
      </w:r>
      <w:r>
        <w:rPr>
          <w:rFonts w:ascii="仿宋_GB2312" w:hAnsi="Times New Roman" w:eastAsia="仿宋_GB2312" w:cs="Times New Roman"/>
          <w:snapToGrid w:val="0"/>
          <w:kern w:val="0"/>
          <w:sz w:val="30"/>
          <w:szCs w:val="30"/>
        </w:rPr>
        <w:t>项目的实施进度进行动态监控，强化工作考核，</w:t>
      </w:r>
      <w:r>
        <w:rPr>
          <w:rFonts w:hint="eastAsia" w:ascii="仿宋_GB2312" w:hAnsi="Times New Roman" w:eastAsia="仿宋_GB2312" w:cs="Times New Roman"/>
          <w:snapToGrid w:val="0"/>
          <w:kern w:val="0"/>
          <w:sz w:val="30"/>
          <w:szCs w:val="30"/>
        </w:rPr>
        <w:t>对高标准、高质量、提前完成相应工作的部门、县区，予以表彰，对未按时、按质、按要求完成相应工作的部门、县区，予以通报批评，</w:t>
      </w:r>
      <w:r>
        <w:rPr>
          <w:rFonts w:ascii="仿宋_GB2312" w:hAnsi="Times New Roman" w:eastAsia="仿宋_GB2312" w:cs="Times New Roman"/>
          <w:snapToGrid w:val="0"/>
          <w:kern w:val="0"/>
          <w:sz w:val="30"/>
          <w:szCs w:val="30"/>
        </w:rPr>
        <w:t>确保各项工作落到实处、取得实效。</w:t>
      </w:r>
    </w:p>
    <w:p>
      <w:pPr>
        <w:spacing w:line="560" w:lineRule="exact"/>
        <w:ind w:firstLine="600" w:firstLineChars="200"/>
        <w:rPr>
          <w:rFonts w:ascii="仿宋_GB2312" w:hAnsi="Times New Roman" w:eastAsia="仿宋_GB2312" w:cs="Times New Roman"/>
          <w:snapToGrid w:val="0"/>
          <w:kern w:val="0"/>
          <w:sz w:val="30"/>
          <w:szCs w:val="30"/>
        </w:rPr>
      </w:pPr>
    </w:p>
    <w:p>
      <w:pPr>
        <w:spacing w:line="560" w:lineRule="exact"/>
        <w:ind w:firstLine="600" w:firstLineChars="200"/>
        <w:rPr>
          <w:rFonts w:ascii="仿宋_GB2312" w:hAnsi="Times New Roman" w:eastAsia="仿宋_GB2312" w:cs="Times New Roman"/>
          <w:snapToGrid w:val="0"/>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autoSpaceDE w:val="0"/>
        <w:autoSpaceDN w:val="0"/>
        <w:adjustRightInd w:val="0"/>
        <w:spacing w:beforeLines="50" w:afterLines="50"/>
        <w:ind w:firstLine="600"/>
        <w:jc w:val="left"/>
        <w:rPr>
          <w:rFonts w:cs="宋体" w:eastAsiaTheme="minorHAnsi"/>
          <w:color w:val="222222"/>
          <w:kern w:val="0"/>
          <w:sz w:val="30"/>
          <w:szCs w:val="30"/>
        </w:rPr>
      </w:pPr>
    </w:p>
    <w:p>
      <w:pPr>
        <w:widowControl/>
        <w:jc w:val="left"/>
        <w:sectPr>
          <w:footerReference r:id="rId4" w:type="default"/>
          <w:pgSz w:w="11906" w:h="16838"/>
          <w:pgMar w:top="1440" w:right="1800" w:bottom="1440" w:left="1800" w:header="851" w:footer="992" w:gutter="0"/>
          <w:pgNumType w:start="1"/>
          <w:cols w:space="425" w:num="1"/>
          <w:docGrid w:type="lines" w:linePitch="312" w:charSpace="0"/>
        </w:sectPr>
      </w:pPr>
    </w:p>
    <w:p>
      <w:pPr>
        <w:rPr>
          <w:rFonts w:ascii="Calibri" w:hAnsi="Calibri" w:eastAsia="宋体" w:cs="Times New Roma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libri Light">
    <w:altName w:val="Calibri"/>
    <w:panose1 w:val="020F0302020204030204"/>
    <w:charset w:val="00"/>
    <w:family w:val="swiss"/>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0000000000000000000"/>
    <w:charset w:val="86"/>
    <w:family w:val="auto"/>
    <w:pitch w:val="default"/>
    <w:sig w:usb0="00000000" w:usb1="00000000" w:usb2="00000016" w:usb3="00000000" w:csb0="0004000F" w:csb1="00000000"/>
  </w:font>
  <w:font w:name="方正仿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1201"/>
    </w:sdtPr>
    <w:sdtContent>
      <w:p>
        <w:pPr>
          <w:pStyle w:val="13"/>
          <w:jc w:val="center"/>
        </w:pPr>
        <w:r>
          <w:fldChar w:fldCharType="begin"/>
        </w:r>
        <w:r>
          <w:instrText xml:space="preserve"> PAGE   \* MERGEFORMAT </w:instrText>
        </w:r>
        <w:r>
          <w:fldChar w:fldCharType="separate"/>
        </w:r>
        <w:r>
          <w:rPr>
            <w:lang w:val="zh-CN"/>
          </w:rPr>
          <w:t>IV</w:t>
        </w:r>
        <w:r>
          <w:rPr>
            <w:lang w:val="zh-CN"/>
          </w:rPr>
          <w:fldChar w:fldCharType="end"/>
        </w:r>
      </w:p>
    </w:sdtContent>
  </w:sdt>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01202"/>
    </w:sdtPr>
    <w:sdtContent>
      <w:p>
        <w:pPr>
          <w:pStyle w:val="13"/>
          <w:jc w:val="center"/>
        </w:pPr>
        <w:r>
          <w:fldChar w:fldCharType="begin"/>
        </w:r>
        <w:r>
          <w:instrText xml:space="preserve"> PAGE   \* MERGEFORMAT </w:instrText>
        </w:r>
        <w:r>
          <w:fldChar w:fldCharType="separate"/>
        </w:r>
        <w:r>
          <w:rPr>
            <w:lang w:val="zh-CN"/>
          </w:rPr>
          <w:t>64</w:t>
        </w:r>
        <w:r>
          <w:rPr>
            <w:lang w:val="zh-CN"/>
          </w:rPr>
          <w:fldChar w:fldCharType="end"/>
        </w:r>
      </w:p>
    </w:sdtContent>
  </w:sdt>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5E24"/>
    <w:rsid w:val="000005C5"/>
    <w:rsid w:val="00001D85"/>
    <w:rsid w:val="00001EEC"/>
    <w:rsid w:val="00006CDF"/>
    <w:rsid w:val="000117A5"/>
    <w:rsid w:val="000146FD"/>
    <w:rsid w:val="000148D3"/>
    <w:rsid w:val="000149F4"/>
    <w:rsid w:val="00016B0B"/>
    <w:rsid w:val="00020A6A"/>
    <w:rsid w:val="000251FD"/>
    <w:rsid w:val="00040AF3"/>
    <w:rsid w:val="0004536D"/>
    <w:rsid w:val="0004730C"/>
    <w:rsid w:val="0005197B"/>
    <w:rsid w:val="00054756"/>
    <w:rsid w:val="00056A67"/>
    <w:rsid w:val="00057CCA"/>
    <w:rsid w:val="000865F9"/>
    <w:rsid w:val="000A08DD"/>
    <w:rsid w:val="000A451C"/>
    <w:rsid w:val="000B4980"/>
    <w:rsid w:val="000C0856"/>
    <w:rsid w:val="000C0A31"/>
    <w:rsid w:val="000C5EFA"/>
    <w:rsid w:val="000D4D34"/>
    <w:rsid w:val="000D772D"/>
    <w:rsid w:val="000E035A"/>
    <w:rsid w:val="000E0531"/>
    <w:rsid w:val="000E0D12"/>
    <w:rsid w:val="000E1BB5"/>
    <w:rsid w:val="000E29E5"/>
    <w:rsid w:val="000E54E9"/>
    <w:rsid w:val="000F1057"/>
    <w:rsid w:val="000F3F6F"/>
    <w:rsid w:val="000F6585"/>
    <w:rsid w:val="001057AC"/>
    <w:rsid w:val="001105F0"/>
    <w:rsid w:val="001149AA"/>
    <w:rsid w:val="00116C21"/>
    <w:rsid w:val="00117203"/>
    <w:rsid w:val="00132111"/>
    <w:rsid w:val="001326B1"/>
    <w:rsid w:val="001347F5"/>
    <w:rsid w:val="00141C71"/>
    <w:rsid w:val="001422EE"/>
    <w:rsid w:val="0014293A"/>
    <w:rsid w:val="0014387C"/>
    <w:rsid w:val="001479FD"/>
    <w:rsid w:val="001527C8"/>
    <w:rsid w:val="00157A92"/>
    <w:rsid w:val="0016249A"/>
    <w:rsid w:val="001639CC"/>
    <w:rsid w:val="00173973"/>
    <w:rsid w:val="00174BE6"/>
    <w:rsid w:val="00186F59"/>
    <w:rsid w:val="001925F4"/>
    <w:rsid w:val="0019569B"/>
    <w:rsid w:val="001978F1"/>
    <w:rsid w:val="001A0E25"/>
    <w:rsid w:val="001A1E8D"/>
    <w:rsid w:val="001A3FD4"/>
    <w:rsid w:val="001A4C80"/>
    <w:rsid w:val="001A6637"/>
    <w:rsid w:val="001A671D"/>
    <w:rsid w:val="001B20CA"/>
    <w:rsid w:val="001B243F"/>
    <w:rsid w:val="001B2CA8"/>
    <w:rsid w:val="001B382F"/>
    <w:rsid w:val="001B4CB4"/>
    <w:rsid w:val="001C10EF"/>
    <w:rsid w:val="001C12F6"/>
    <w:rsid w:val="001C169E"/>
    <w:rsid w:val="001D5510"/>
    <w:rsid w:val="001D7AFF"/>
    <w:rsid w:val="001E0BE5"/>
    <w:rsid w:val="001F5340"/>
    <w:rsid w:val="001F6694"/>
    <w:rsid w:val="001F7CED"/>
    <w:rsid w:val="00206951"/>
    <w:rsid w:val="002222B3"/>
    <w:rsid w:val="00227A15"/>
    <w:rsid w:val="00233570"/>
    <w:rsid w:val="00240266"/>
    <w:rsid w:val="00241B06"/>
    <w:rsid w:val="00245F6C"/>
    <w:rsid w:val="00250011"/>
    <w:rsid w:val="00253420"/>
    <w:rsid w:val="00256D98"/>
    <w:rsid w:val="00256FE5"/>
    <w:rsid w:val="00266564"/>
    <w:rsid w:val="00266923"/>
    <w:rsid w:val="00276214"/>
    <w:rsid w:val="002823FF"/>
    <w:rsid w:val="00282F28"/>
    <w:rsid w:val="00290057"/>
    <w:rsid w:val="00291EE7"/>
    <w:rsid w:val="0029264E"/>
    <w:rsid w:val="002939C0"/>
    <w:rsid w:val="0029474C"/>
    <w:rsid w:val="002A03E3"/>
    <w:rsid w:val="002A1B31"/>
    <w:rsid w:val="002A2BDC"/>
    <w:rsid w:val="002A5322"/>
    <w:rsid w:val="002A6588"/>
    <w:rsid w:val="002B1D46"/>
    <w:rsid w:val="002B6163"/>
    <w:rsid w:val="002C0226"/>
    <w:rsid w:val="002C3225"/>
    <w:rsid w:val="002C3F11"/>
    <w:rsid w:val="002D06A7"/>
    <w:rsid w:val="002D2C23"/>
    <w:rsid w:val="002D512B"/>
    <w:rsid w:val="002D53E4"/>
    <w:rsid w:val="002F7EC3"/>
    <w:rsid w:val="00303F5D"/>
    <w:rsid w:val="00304ADD"/>
    <w:rsid w:val="00314E0D"/>
    <w:rsid w:val="00320933"/>
    <w:rsid w:val="00320D95"/>
    <w:rsid w:val="00321482"/>
    <w:rsid w:val="003404AE"/>
    <w:rsid w:val="00340BDA"/>
    <w:rsid w:val="00344267"/>
    <w:rsid w:val="00344964"/>
    <w:rsid w:val="003457E0"/>
    <w:rsid w:val="0034718E"/>
    <w:rsid w:val="00347E9E"/>
    <w:rsid w:val="00347F05"/>
    <w:rsid w:val="00357D2C"/>
    <w:rsid w:val="003608A6"/>
    <w:rsid w:val="0036390E"/>
    <w:rsid w:val="00365288"/>
    <w:rsid w:val="00365D04"/>
    <w:rsid w:val="00365EF7"/>
    <w:rsid w:val="00373DDE"/>
    <w:rsid w:val="0038118F"/>
    <w:rsid w:val="00386AC4"/>
    <w:rsid w:val="00391743"/>
    <w:rsid w:val="003964E5"/>
    <w:rsid w:val="003A33C8"/>
    <w:rsid w:val="003A7006"/>
    <w:rsid w:val="003B1FA0"/>
    <w:rsid w:val="003B466C"/>
    <w:rsid w:val="003B5E24"/>
    <w:rsid w:val="003B7420"/>
    <w:rsid w:val="003D24EE"/>
    <w:rsid w:val="003D3553"/>
    <w:rsid w:val="003D4AB1"/>
    <w:rsid w:val="003D702F"/>
    <w:rsid w:val="003D776D"/>
    <w:rsid w:val="003E4594"/>
    <w:rsid w:val="003E749E"/>
    <w:rsid w:val="003F280C"/>
    <w:rsid w:val="003F2833"/>
    <w:rsid w:val="003F6279"/>
    <w:rsid w:val="003F7313"/>
    <w:rsid w:val="0040399C"/>
    <w:rsid w:val="004116B8"/>
    <w:rsid w:val="004173B4"/>
    <w:rsid w:val="004240E2"/>
    <w:rsid w:val="004244C3"/>
    <w:rsid w:val="00424619"/>
    <w:rsid w:val="00425027"/>
    <w:rsid w:val="004256C7"/>
    <w:rsid w:val="004260ED"/>
    <w:rsid w:val="00443CAE"/>
    <w:rsid w:val="00446FD0"/>
    <w:rsid w:val="004507B8"/>
    <w:rsid w:val="00451894"/>
    <w:rsid w:val="00451F52"/>
    <w:rsid w:val="0045360B"/>
    <w:rsid w:val="004536C7"/>
    <w:rsid w:val="00456280"/>
    <w:rsid w:val="00470AA4"/>
    <w:rsid w:val="00471354"/>
    <w:rsid w:val="00481E0E"/>
    <w:rsid w:val="00485DDB"/>
    <w:rsid w:val="004871A3"/>
    <w:rsid w:val="004A2FFE"/>
    <w:rsid w:val="004A63F1"/>
    <w:rsid w:val="004B611E"/>
    <w:rsid w:val="004C0080"/>
    <w:rsid w:val="004C25D7"/>
    <w:rsid w:val="004C62D7"/>
    <w:rsid w:val="004C68D8"/>
    <w:rsid w:val="004C7039"/>
    <w:rsid w:val="004E6FB9"/>
    <w:rsid w:val="004F1B1E"/>
    <w:rsid w:val="004F4FDC"/>
    <w:rsid w:val="004F56DE"/>
    <w:rsid w:val="00510357"/>
    <w:rsid w:val="00510571"/>
    <w:rsid w:val="0052129D"/>
    <w:rsid w:val="0052527F"/>
    <w:rsid w:val="005265E9"/>
    <w:rsid w:val="005310D0"/>
    <w:rsid w:val="0053313B"/>
    <w:rsid w:val="005517A1"/>
    <w:rsid w:val="00553145"/>
    <w:rsid w:val="00557E00"/>
    <w:rsid w:val="00561AC4"/>
    <w:rsid w:val="00565D51"/>
    <w:rsid w:val="0056658C"/>
    <w:rsid w:val="00566DC5"/>
    <w:rsid w:val="00567CB1"/>
    <w:rsid w:val="00585894"/>
    <w:rsid w:val="00586E21"/>
    <w:rsid w:val="00587C60"/>
    <w:rsid w:val="00591AE5"/>
    <w:rsid w:val="005922C9"/>
    <w:rsid w:val="00597337"/>
    <w:rsid w:val="0059766F"/>
    <w:rsid w:val="005A5749"/>
    <w:rsid w:val="005B1BCB"/>
    <w:rsid w:val="005B377C"/>
    <w:rsid w:val="005B3E65"/>
    <w:rsid w:val="005B4CB9"/>
    <w:rsid w:val="005B50B3"/>
    <w:rsid w:val="005C50D4"/>
    <w:rsid w:val="005D5056"/>
    <w:rsid w:val="005D7913"/>
    <w:rsid w:val="005E61FC"/>
    <w:rsid w:val="005E7996"/>
    <w:rsid w:val="005F32CB"/>
    <w:rsid w:val="005F4FF7"/>
    <w:rsid w:val="005F6901"/>
    <w:rsid w:val="005F73CD"/>
    <w:rsid w:val="00600ACA"/>
    <w:rsid w:val="00604D80"/>
    <w:rsid w:val="0060729C"/>
    <w:rsid w:val="006072F2"/>
    <w:rsid w:val="006135D9"/>
    <w:rsid w:val="006158C6"/>
    <w:rsid w:val="0061752B"/>
    <w:rsid w:val="00617943"/>
    <w:rsid w:val="006217E4"/>
    <w:rsid w:val="00623CBA"/>
    <w:rsid w:val="00623F6B"/>
    <w:rsid w:val="006246C8"/>
    <w:rsid w:val="00627CFA"/>
    <w:rsid w:val="00633561"/>
    <w:rsid w:val="006362D7"/>
    <w:rsid w:val="00646DF0"/>
    <w:rsid w:val="00647B75"/>
    <w:rsid w:val="006533F4"/>
    <w:rsid w:val="00653A0A"/>
    <w:rsid w:val="0065669B"/>
    <w:rsid w:val="00661377"/>
    <w:rsid w:val="0066402A"/>
    <w:rsid w:val="0066614A"/>
    <w:rsid w:val="00667DD8"/>
    <w:rsid w:val="006719CC"/>
    <w:rsid w:val="0067312B"/>
    <w:rsid w:val="0067750B"/>
    <w:rsid w:val="00677CD2"/>
    <w:rsid w:val="00683228"/>
    <w:rsid w:val="0068530F"/>
    <w:rsid w:val="006942A0"/>
    <w:rsid w:val="00694AA7"/>
    <w:rsid w:val="006961CC"/>
    <w:rsid w:val="00696F52"/>
    <w:rsid w:val="006A1E7C"/>
    <w:rsid w:val="006A589F"/>
    <w:rsid w:val="006B5C21"/>
    <w:rsid w:val="006B7D39"/>
    <w:rsid w:val="006C7764"/>
    <w:rsid w:val="006D0008"/>
    <w:rsid w:val="006D00EF"/>
    <w:rsid w:val="006D31C8"/>
    <w:rsid w:val="006E1639"/>
    <w:rsid w:val="006E3997"/>
    <w:rsid w:val="006E7123"/>
    <w:rsid w:val="006F04FF"/>
    <w:rsid w:val="006F11CC"/>
    <w:rsid w:val="00702638"/>
    <w:rsid w:val="00703D00"/>
    <w:rsid w:val="00710FA5"/>
    <w:rsid w:val="00711E0A"/>
    <w:rsid w:val="0072385B"/>
    <w:rsid w:val="0072565C"/>
    <w:rsid w:val="0073479C"/>
    <w:rsid w:val="00735DBA"/>
    <w:rsid w:val="00737123"/>
    <w:rsid w:val="00737DBC"/>
    <w:rsid w:val="007407D4"/>
    <w:rsid w:val="0074199F"/>
    <w:rsid w:val="007420C1"/>
    <w:rsid w:val="007472A0"/>
    <w:rsid w:val="007535BC"/>
    <w:rsid w:val="007561BA"/>
    <w:rsid w:val="007564C7"/>
    <w:rsid w:val="00756A50"/>
    <w:rsid w:val="0076172E"/>
    <w:rsid w:val="00765397"/>
    <w:rsid w:val="0077220D"/>
    <w:rsid w:val="00774429"/>
    <w:rsid w:val="007751D7"/>
    <w:rsid w:val="00775450"/>
    <w:rsid w:val="007770BD"/>
    <w:rsid w:val="00780B2D"/>
    <w:rsid w:val="0078198E"/>
    <w:rsid w:val="0078332D"/>
    <w:rsid w:val="00785944"/>
    <w:rsid w:val="00787570"/>
    <w:rsid w:val="007902C4"/>
    <w:rsid w:val="00791A3B"/>
    <w:rsid w:val="007922F4"/>
    <w:rsid w:val="007A0F18"/>
    <w:rsid w:val="007B084C"/>
    <w:rsid w:val="007B555B"/>
    <w:rsid w:val="007B577F"/>
    <w:rsid w:val="007B582C"/>
    <w:rsid w:val="007C4520"/>
    <w:rsid w:val="007C5064"/>
    <w:rsid w:val="007D1428"/>
    <w:rsid w:val="007D297F"/>
    <w:rsid w:val="007D46B3"/>
    <w:rsid w:val="007D6F39"/>
    <w:rsid w:val="007E1F7C"/>
    <w:rsid w:val="007E7475"/>
    <w:rsid w:val="007F03DC"/>
    <w:rsid w:val="007F15B7"/>
    <w:rsid w:val="008029B9"/>
    <w:rsid w:val="0080723E"/>
    <w:rsid w:val="00810006"/>
    <w:rsid w:val="00815AAC"/>
    <w:rsid w:val="008213D3"/>
    <w:rsid w:val="008375F7"/>
    <w:rsid w:val="00840EBB"/>
    <w:rsid w:val="0084287B"/>
    <w:rsid w:val="008501A0"/>
    <w:rsid w:val="008507F5"/>
    <w:rsid w:val="00851297"/>
    <w:rsid w:val="00851F4C"/>
    <w:rsid w:val="00851F72"/>
    <w:rsid w:val="008631ED"/>
    <w:rsid w:val="00863780"/>
    <w:rsid w:val="00866D0E"/>
    <w:rsid w:val="00870E20"/>
    <w:rsid w:val="00870ECF"/>
    <w:rsid w:val="00871D22"/>
    <w:rsid w:val="0087304D"/>
    <w:rsid w:val="00874392"/>
    <w:rsid w:val="008757B5"/>
    <w:rsid w:val="00876CD6"/>
    <w:rsid w:val="008817E8"/>
    <w:rsid w:val="00881B88"/>
    <w:rsid w:val="00887B67"/>
    <w:rsid w:val="00890510"/>
    <w:rsid w:val="00891114"/>
    <w:rsid w:val="00896159"/>
    <w:rsid w:val="008A1621"/>
    <w:rsid w:val="008A2FC7"/>
    <w:rsid w:val="008A4D44"/>
    <w:rsid w:val="008A6B4E"/>
    <w:rsid w:val="008A6D92"/>
    <w:rsid w:val="008B0812"/>
    <w:rsid w:val="008B32E0"/>
    <w:rsid w:val="008B3F61"/>
    <w:rsid w:val="008B46A1"/>
    <w:rsid w:val="008C7AD3"/>
    <w:rsid w:val="008D3BC3"/>
    <w:rsid w:val="008D414D"/>
    <w:rsid w:val="008E663E"/>
    <w:rsid w:val="008F1BEB"/>
    <w:rsid w:val="00901687"/>
    <w:rsid w:val="00901B44"/>
    <w:rsid w:val="00903E98"/>
    <w:rsid w:val="00904A32"/>
    <w:rsid w:val="009054F8"/>
    <w:rsid w:val="00913F07"/>
    <w:rsid w:val="0092016D"/>
    <w:rsid w:val="0092235E"/>
    <w:rsid w:val="00926C20"/>
    <w:rsid w:val="0093082F"/>
    <w:rsid w:val="0093087B"/>
    <w:rsid w:val="009340A7"/>
    <w:rsid w:val="0093431E"/>
    <w:rsid w:val="00937627"/>
    <w:rsid w:val="0094160E"/>
    <w:rsid w:val="009453C9"/>
    <w:rsid w:val="00946696"/>
    <w:rsid w:val="009508D6"/>
    <w:rsid w:val="009602EF"/>
    <w:rsid w:val="0096344C"/>
    <w:rsid w:val="00964D07"/>
    <w:rsid w:val="00964E40"/>
    <w:rsid w:val="00970FA0"/>
    <w:rsid w:val="00972AD2"/>
    <w:rsid w:val="009805D1"/>
    <w:rsid w:val="00982AA8"/>
    <w:rsid w:val="00984306"/>
    <w:rsid w:val="00987851"/>
    <w:rsid w:val="00992044"/>
    <w:rsid w:val="00996406"/>
    <w:rsid w:val="009A780C"/>
    <w:rsid w:val="009A78CC"/>
    <w:rsid w:val="009B0D17"/>
    <w:rsid w:val="009B4B14"/>
    <w:rsid w:val="009C2B03"/>
    <w:rsid w:val="009D1281"/>
    <w:rsid w:val="009D1D70"/>
    <w:rsid w:val="009D72B7"/>
    <w:rsid w:val="009D7BB0"/>
    <w:rsid w:val="009E1372"/>
    <w:rsid w:val="009E32F3"/>
    <w:rsid w:val="009E796B"/>
    <w:rsid w:val="009F2895"/>
    <w:rsid w:val="00A02435"/>
    <w:rsid w:val="00A03BCB"/>
    <w:rsid w:val="00A1084D"/>
    <w:rsid w:val="00A11AFE"/>
    <w:rsid w:val="00A15282"/>
    <w:rsid w:val="00A2360E"/>
    <w:rsid w:val="00A23985"/>
    <w:rsid w:val="00A42531"/>
    <w:rsid w:val="00A427D6"/>
    <w:rsid w:val="00A42D27"/>
    <w:rsid w:val="00A45CEF"/>
    <w:rsid w:val="00A529CE"/>
    <w:rsid w:val="00A55E5D"/>
    <w:rsid w:val="00A607CF"/>
    <w:rsid w:val="00A633EA"/>
    <w:rsid w:val="00A65E50"/>
    <w:rsid w:val="00A67301"/>
    <w:rsid w:val="00A70769"/>
    <w:rsid w:val="00A709A2"/>
    <w:rsid w:val="00A70ACA"/>
    <w:rsid w:val="00A7292F"/>
    <w:rsid w:val="00A74E4B"/>
    <w:rsid w:val="00A75D7F"/>
    <w:rsid w:val="00A77548"/>
    <w:rsid w:val="00A82472"/>
    <w:rsid w:val="00A90B21"/>
    <w:rsid w:val="00A90E4F"/>
    <w:rsid w:val="00A92B0E"/>
    <w:rsid w:val="00A92B53"/>
    <w:rsid w:val="00A9481D"/>
    <w:rsid w:val="00AA0504"/>
    <w:rsid w:val="00AA2E43"/>
    <w:rsid w:val="00AA479A"/>
    <w:rsid w:val="00AA5043"/>
    <w:rsid w:val="00AB25C2"/>
    <w:rsid w:val="00AB3822"/>
    <w:rsid w:val="00AB59E5"/>
    <w:rsid w:val="00AC1EDA"/>
    <w:rsid w:val="00AC5D70"/>
    <w:rsid w:val="00AC7D5C"/>
    <w:rsid w:val="00AD29E2"/>
    <w:rsid w:val="00AD3055"/>
    <w:rsid w:val="00AD4C71"/>
    <w:rsid w:val="00AE3053"/>
    <w:rsid w:val="00AE354A"/>
    <w:rsid w:val="00AE3A42"/>
    <w:rsid w:val="00AE52B4"/>
    <w:rsid w:val="00AF4FA0"/>
    <w:rsid w:val="00B01B85"/>
    <w:rsid w:val="00B13856"/>
    <w:rsid w:val="00B243BF"/>
    <w:rsid w:val="00B25548"/>
    <w:rsid w:val="00B265C0"/>
    <w:rsid w:val="00B27912"/>
    <w:rsid w:val="00B31D6D"/>
    <w:rsid w:val="00B40F78"/>
    <w:rsid w:val="00B41A77"/>
    <w:rsid w:val="00B41FB9"/>
    <w:rsid w:val="00B44D4B"/>
    <w:rsid w:val="00B467E7"/>
    <w:rsid w:val="00B50D90"/>
    <w:rsid w:val="00B51670"/>
    <w:rsid w:val="00B5188C"/>
    <w:rsid w:val="00B659F5"/>
    <w:rsid w:val="00B65BC3"/>
    <w:rsid w:val="00B71CCE"/>
    <w:rsid w:val="00B733CD"/>
    <w:rsid w:val="00B82931"/>
    <w:rsid w:val="00B90E63"/>
    <w:rsid w:val="00B92335"/>
    <w:rsid w:val="00B9320E"/>
    <w:rsid w:val="00B95EF4"/>
    <w:rsid w:val="00BA0516"/>
    <w:rsid w:val="00BA12F8"/>
    <w:rsid w:val="00BA17F2"/>
    <w:rsid w:val="00BA405B"/>
    <w:rsid w:val="00BA50D2"/>
    <w:rsid w:val="00BB4192"/>
    <w:rsid w:val="00BB563D"/>
    <w:rsid w:val="00BB60A6"/>
    <w:rsid w:val="00BC45F5"/>
    <w:rsid w:val="00BC5423"/>
    <w:rsid w:val="00BD44E5"/>
    <w:rsid w:val="00BE2975"/>
    <w:rsid w:val="00BE2AD7"/>
    <w:rsid w:val="00BE34D8"/>
    <w:rsid w:val="00BF1134"/>
    <w:rsid w:val="00BF5477"/>
    <w:rsid w:val="00BF608C"/>
    <w:rsid w:val="00BF7B13"/>
    <w:rsid w:val="00C00336"/>
    <w:rsid w:val="00C0074F"/>
    <w:rsid w:val="00C02793"/>
    <w:rsid w:val="00C053D4"/>
    <w:rsid w:val="00C103C5"/>
    <w:rsid w:val="00C10C16"/>
    <w:rsid w:val="00C11922"/>
    <w:rsid w:val="00C14715"/>
    <w:rsid w:val="00C16DCE"/>
    <w:rsid w:val="00C220C9"/>
    <w:rsid w:val="00C227C3"/>
    <w:rsid w:val="00C23F44"/>
    <w:rsid w:val="00C27BC3"/>
    <w:rsid w:val="00C37EFA"/>
    <w:rsid w:val="00C439F4"/>
    <w:rsid w:val="00C43A3F"/>
    <w:rsid w:val="00C44A7A"/>
    <w:rsid w:val="00C63A50"/>
    <w:rsid w:val="00C64D92"/>
    <w:rsid w:val="00C74D9D"/>
    <w:rsid w:val="00C81AB7"/>
    <w:rsid w:val="00C85A48"/>
    <w:rsid w:val="00C90FC8"/>
    <w:rsid w:val="00C945B2"/>
    <w:rsid w:val="00C94F6E"/>
    <w:rsid w:val="00C97CC1"/>
    <w:rsid w:val="00CA131C"/>
    <w:rsid w:val="00CA33BE"/>
    <w:rsid w:val="00CA35DB"/>
    <w:rsid w:val="00CA3E62"/>
    <w:rsid w:val="00CA4B9C"/>
    <w:rsid w:val="00CA518A"/>
    <w:rsid w:val="00CB1DF9"/>
    <w:rsid w:val="00CC0527"/>
    <w:rsid w:val="00CC2CEE"/>
    <w:rsid w:val="00CC6D66"/>
    <w:rsid w:val="00CD242D"/>
    <w:rsid w:val="00CD2CED"/>
    <w:rsid w:val="00CE175B"/>
    <w:rsid w:val="00CE1BC6"/>
    <w:rsid w:val="00CE540C"/>
    <w:rsid w:val="00CE585D"/>
    <w:rsid w:val="00CF1504"/>
    <w:rsid w:val="00CF5B14"/>
    <w:rsid w:val="00D00278"/>
    <w:rsid w:val="00D04EDB"/>
    <w:rsid w:val="00D06CA2"/>
    <w:rsid w:val="00D07D1C"/>
    <w:rsid w:val="00D10F57"/>
    <w:rsid w:val="00D1696C"/>
    <w:rsid w:val="00D221BC"/>
    <w:rsid w:val="00D223F8"/>
    <w:rsid w:val="00D228BB"/>
    <w:rsid w:val="00D23B57"/>
    <w:rsid w:val="00D31CFB"/>
    <w:rsid w:val="00D35D6C"/>
    <w:rsid w:val="00D36C5C"/>
    <w:rsid w:val="00D40D79"/>
    <w:rsid w:val="00D55207"/>
    <w:rsid w:val="00D5578B"/>
    <w:rsid w:val="00D562AD"/>
    <w:rsid w:val="00D660B4"/>
    <w:rsid w:val="00D8114C"/>
    <w:rsid w:val="00D920EB"/>
    <w:rsid w:val="00D92A6E"/>
    <w:rsid w:val="00D92AFD"/>
    <w:rsid w:val="00D9371B"/>
    <w:rsid w:val="00D9678C"/>
    <w:rsid w:val="00DA0CC2"/>
    <w:rsid w:val="00DA5D35"/>
    <w:rsid w:val="00DB09AE"/>
    <w:rsid w:val="00DB13F5"/>
    <w:rsid w:val="00DC0A41"/>
    <w:rsid w:val="00DC0B11"/>
    <w:rsid w:val="00DC19BC"/>
    <w:rsid w:val="00DD1165"/>
    <w:rsid w:val="00DD183E"/>
    <w:rsid w:val="00DE1F6E"/>
    <w:rsid w:val="00DE3E93"/>
    <w:rsid w:val="00DE63BC"/>
    <w:rsid w:val="00DE6738"/>
    <w:rsid w:val="00DE6A5C"/>
    <w:rsid w:val="00DF624D"/>
    <w:rsid w:val="00DF6D02"/>
    <w:rsid w:val="00E04FE9"/>
    <w:rsid w:val="00E05764"/>
    <w:rsid w:val="00E07564"/>
    <w:rsid w:val="00E078F8"/>
    <w:rsid w:val="00E12C81"/>
    <w:rsid w:val="00E177B1"/>
    <w:rsid w:val="00E214EE"/>
    <w:rsid w:val="00E21A70"/>
    <w:rsid w:val="00E21FCC"/>
    <w:rsid w:val="00E24C40"/>
    <w:rsid w:val="00E2576A"/>
    <w:rsid w:val="00E26072"/>
    <w:rsid w:val="00E3427F"/>
    <w:rsid w:val="00E36E63"/>
    <w:rsid w:val="00E37742"/>
    <w:rsid w:val="00E44691"/>
    <w:rsid w:val="00E52AC9"/>
    <w:rsid w:val="00E55F41"/>
    <w:rsid w:val="00E6505F"/>
    <w:rsid w:val="00E660C4"/>
    <w:rsid w:val="00E73B5B"/>
    <w:rsid w:val="00E7544A"/>
    <w:rsid w:val="00E824FE"/>
    <w:rsid w:val="00E9373B"/>
    <w:rsid w:val="00EA2E09"/>
    <w:rsid w:val="00EB1F9B"/>
    <w:rsid w:val="00EB575B"/>
    <w:rsid w:val="00EB6D6A"/>
    <w:rsid w:val="00EB7057"/>
    <w:rsid w:val="00EC52F2"/>
    <w:rsid w:val="00EC609C"/>
    <w:rsid w:val="00EC7E56"/>
    <w:rsid w:val="00ED2E62"/>
    <w:rsid w:val="00ED647A"/>
    <w:rsid w:val="00EE1723"/>
    <w:rsid w:val="00EE46DF"/>
    <w:rsid w:val="00F02C89"/>
    <w:rsid w:val="00F031BF"/>
    <w:rsid w:val="00F061D2"/>
    <w:rsid w:val="00F11435"/>
    <w:rsid w:val="00F17981"/>
    <w:rsid w:val="00F17F11"/>
    <w:rsid w:val="00F20F40"/>
    <w:rsid w:val="00F22BB7"/>
    <w:rsid w:val="00F2496E"/>
    <w:rsid w:val="00F2702A"/>
    <w:rsid w:val="00F27B26"/>
    <w:rsid w:val="00F3428B"/>
    <w:rsid w:val="00F36B53"/>
    <w:rsid w:val="00F3784C"/>
    <w:rsid w:val="00F469B3"/>
    <w:rsid w:val="00F46B37"/>
    <w:rsid w:val="00F47122"/>
    <w:rsid w:val="00F51025"/>
    <w:rsid w:val="00F51D70"/>
    <w:rsid w:val="00F54288"/>
    <w:rsid w:val="00F56140"/>
    <w:rsid w:val="00F5628C"/>
    <w:rsid w:val="00F63817"/>
    <w:rsid w:val="00F64E1D"/>
    <w:rsid w:val="00F72AA1"/>
    <w:rsid w:val="00F7493A"/>
    <w:rsid w:val="00F77BEA"/>
    <w:rsid w:val="00F810BE"/>
    <w:rsid w:val="00F822AB"/>
    <w:rsid w:val="00F838E1"/>
    <w:rsid w:val="00F842D4"/>
    <w:rsid w:val="00F925E6"/>
    <w:rsid w:val="00F97D55"/>
    <w:rsid w:val="00FB15A7"/>
    <w:rsid w:val="00FB1B56"/>
    <w:rsid w:val="00FE5B94"/>
    <w:rsid w:val="00FF2A2A"/>
    <w:rsid w:val="00FF43C6"/>
    <w:rsid w:val="00FF606F"/>
    <w:rsid w:val="00FF7831"/>
    <w:rsid w:val="00FF7BD2"/>
    <w:rsid w:val="01B16BFF"/>
    <w:rsid w:val="021B4E82"/>
    <w:rsid w:val="032309C3"/>
    <w:rsid w:val="04344711"/>
    <w:rsid w:val="0B937635"/>
    <w:rsid w:val="0BA43F1E"/>
    <w:rsid w:val="0BAC245F"/>
    <w:rsid w:val="0BD4163A"/>
    <w:rsid w:val="0DC52BAF"/>
    <w:rsid w:val="0F1B1300"/>
    <w:rsid w:val="0F1C44E7"/>
    <w:rsid w:val="11135CC5"/>
    <w:rsid w:val="113A1490"/>
    <w:rsid w:val="16CB5500"/>
    <w:rsid w:val="17B35671"/>
    <w:rsid w:val="18A6608A"/>
    <w:rsid w:val="1A424ACB"/>
    <w:rsid w:val="1B2A6F85"/>
    <w:rsid w:val="1B492FDD"/>
    <w:rsid w:val="1B513FE2"/>
    <w:rsid w:val="1BB974DC"/>
    <w:rsid w:val="1D5745E9"/>
    <w:rsid w:val="1D974B51"/>
    <w:rsid w:val="1DE263BE"/>
    <w:rsid w:val="1E6944E7"/>
    <w:rsid w:val="1ED15A98"/>
    <w:rsid w:val="1F3454C1"/>
    <w:rsid w:val="1FDB725E"/>
    <w:rsid w:val="226E69D4"/>
    <w:rsid w:val="22A13438"/>
    <w:rsid w:val="22EB6FB8"/>
    <w:rsid w:val="240E7FDE"/>
    <w:rsid w:val="24D148C2"/>
    <w:rsid w:val="271C0B29"/>
    <w:rsid w:val="28AB6999"/>
    <w:rsid w:val="28C767EF"/>
    <w:rsid w:val="2AC27E0B"/>
    <w:rsid w:val="2D12523E"/>
    <w:rsid w:val="30B74887"/>
    <w:rsid w:val="3457223A"/>
    <w:rsid w:val="345A0E06"/>
    <w:rsid w:val="348B7F0C"/>
    <w:rsid w:val="367F6E82"/>
    <w:rsid w:val="38FD02C9"/>
    <w:rsid w:val="396344C2"/>
    <w:rsid w:val="396F4A77"/>
    <w:rsid w:val="3AD4694E"/>
    <w:rsid w:val="3B016484"/>
    <w:rsid w:val="3D194557"/>
    <w:rsid w:val="3D376DFB"/>
    <w:rsid w:val="408951EE"/>
    <w:rsid w:val="418C3D37"/>
    <w:rsid w:val="42C13B94"/>
    <w:rsid w:val="463A12CB"/>
    <w:rsid w:val="473F62B9"/>
    <w:rsid w:val="484B5D33"/>
    <w:rsid w:val="49054606"/>
    <w:rsid w:val="49E95665"/>
    <w:rsid w:val="4BB92259"/>
    <w:rsid w:val="4F2F7108"/>
    <w:rsid w:val="503860C4"/>
    <w:rsid w:val="53FD306D"/>
    <w:rsid w:val="54176AC8"/>
    <w:rsid w:val="54521D06"/>
    <w:rsid w:val="595B7A53"/>
    <w:rsid w:val="59E94EF1"/>
    <w:rsid w:val="5A5771A0"/>
    <w:rsid w:val="5B467621"/>
    <w:rsid w:val="5BA90AE8"/>
    <w:rsid w:val="5C091AE1"/>
    <w:rsid w:val="5C350A74"/>
    <w:rsid w:val="5C805201"/>
    <w:rsid w:val="604203B6"/>
    <w:rsid w:val="63510B0E"/>
    <w:rsid w:val="639D6957"/>
    <w:rsid w:val="63BB275A"/>
    <w:rsid w:val="63DE6B38"/>
    <w:rsid w:val="6549210E"/>
    <w:rsid w:val="65634855"/>
    <w:rsid w:val="66107F6C"/>
    <w:rsid w:val="67B97303"/>
    <w:rsid w:val="68930A76"/>
    <w:rsid w:val="68DB09E8"/>
    <w:rsid w:val="692842E9"/>
    <w:rsid w:val="69B0381F"/>
    <w:rsid w:val="6BE93771"/>
    <w:rsid w:val="6CEB2F1F"/>
    <w:rsid w:val="6E9E4D0D"/>
    <w:rsid w:val="70203CDA"/>
    <w:rsid w:val="70A84C36"/>
    <w:rsid w:val="7173377D"/>
    <w:rsid w:val="71A905C7"/>
    <w:rsid w:val="72726B3E"/>
    <w:rsid w:val="73296887"/>
    <w:rsid w:val="73684B00"/>
    <w:rsid w:val="743A3FE5"/>
    <w:rsid w:val="74FC7836"/>
    <w:rsid w:val="750B11DC"/>
    <w:rsid w:val="767368E9"/>
    <w:rsid w:val="785E37F3"/>
    <w:rsid w:val="7B2B3B69"/>
    <w:rsid w:val="7BA732F6"/>
    <w:rsid w:val="7C2076A7"/>
    <w:rsid w:val="7F0C04B5"/>
    <w:rsid w:val="7FC620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nhideWhenUsed="0"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widowControl/>
      <w:adjustRightInd w:val="0"/>
      <w:snapToGrid w:val="0"/>
      <w:spacing w:before="340" w:after="330"/>
      <w:jc w:val="center"/>
      <w:outlineLvl w:val="0"/>
    </w:pPr>
    <w:rPr>
      <w:rFonts w:ascii="Tahoma" w:hAnsi="Tahoma" w:eastAsia="黑体" w:cs="Times New Roman"/>
      <w:b/>
      <w:bCs/>
      <w:kern w:val="44"/>
      <w:sz w:val="36"/>
      <w:szCs w:val="44"/>
    </w:rPr>
  </w:style>
  <w:style w:type="paragraph" w:styleId="3">
    <w:name w:val="heading 2"/>
    <w:basedOn w:val="1"/>
    <w:next w:val="1"/>
    <w:link w:val="43"/>
    <w:qFormat/>
    <w:uiPriority w:val="0"/>
    <w:pPr>
      <w:keepNext/>
      <w:keepLines/>
      <w:tabs>
        <w:tab w:val="left" w:pos="1476"/>
      </w:tabs>
      <w:spacing w:before="120" w:after="120"/>
      <w:ind w:firstLine="640" w:firstLineChars="200"/>
      <w:outlineLvl w:val="1"/>
    </w:pPr>
    <w:rPr>
      <w:rFonts w:ascii="华文中宋" w:hAnsi="华文中宋" w:eastAsia="华文中宋" w:cs="Times New Roman"/>
      <w:bCs/>
      <w:color w:val="000000"/>
      <w:kern w:val="0"/>
      <w:sz w:val="32"/>
      <w:szCs w:val="32"/>
      <w:lang w:val="zh-CN"/>
    </w:rPr>
  </w:style>
  <w:style w:type="paragraph" w:styleId="4">
    <w:name w:val="heading 3"/>
    <w:basedOn w:val="1"/>
    <w:next w:val="1"/>
    <w:link w:val="38"/>
    <w:unhideWhenUsed/>
    <w:qFormat/>
    <w:uiPriority w:val="9"/>
    <w:pPr>
      <w:keepNext/>
      <w:keepLines/>
      <w:spacing w:before="260" w:after="260" w:line="416" w:lineRule="auto"/>
      <w:outlineLvl w:val="2"/>
    </w:pPr>
    <w:rPr>
      <w:b/>
      <w:bCs/>
      <w:sz w:val="32"/>
      <w:szCs w:val="32"/>
    </w:rPr>
  </w:style>
  <w:style w:type="character" w:default="1" w:styleId="23">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5">
    <w:name w:val="toc 7"/>
    <w:basedOn w:val="1"/>
    <w:next w:val="1"/>
    <w:qFormat/>
    <w:uiPriority w:val="39"/>
    <w:pPr>
      <w:ind w:left="2520" w:leftChars="1200"/>
    </w:pPr>
    <w:rPr>
      <w:rFonts w:ascii="Calibri" w:hAnsi="Calibri" w:eastAsia="宋体" w:cs="黑体"/>
    </w:rPr>
  </w:style>
  <w:style w:type="paragraph" w:styleId="6">
    <w:name w:val="caption"/>
    <w:basedOn w:val="1"/>
    <w:next w:val="1"/>
    <w:qFormat/>
    <w:uiPriority w:val="0"/>
    <w:pPr>
      <w:jc w:val="center"/>
    </w:pPr>
    <w:rPr>
      <w:rFonts w:ascii="Cambria" w:hAnsi="Cambria" w:eastAsia="黑体" w:cs="Times New Roman"/>
      <w:sz w:val="20"/>
      <w:szCs w:val="20"/>
    </w:rPr>
  </w:style>
  <w:style w:type="paragraph" w:styleId="7">
    <w:name w:val="Document Map"/>
    <w:basedOn w:val="1"/>
    <w:link w:val="56"/>
    <w:unhideWhenUsed/>
    <w:qFormat/>
    <w:uiPriority w:val="99"/>
    <w:rPr>
      <w:rFonts w:ascii="宋体" w:hAnsi="Calibri" w:eastAsia="宋体" w:cs="Times New Roman"/>
      <w:kern w:val="0"/>
      <w:sz w:val="18"/>
      <w:szCs w:val="18"/>
    </w:rPr>
  </w:style>
  <w:style w:type="paragraph" w:styleId="8">
    <w:name w:val="toc 5"/>
    <w:basedOn w:val="1"/>
    <w:next w:val="1"/>
    <w:unhideWhenUsed/>
    <w:qFormat/>
    <w:uiPriority w:val="39"/>
    <w:pPr>
      <w:ind w:left="1680" w:leftChars="800"/>
    </w:pPr>
    <w:rPr>
      <w:rFonts w:ascii="Calibri" w:hAnsi="Calibri" w:eastAsia="宋体" w:cs="Times New Roman"/>
    </w:rPr>
  </w:style>
  <w:style w:type="paragraph" w:styleId="9">
    <w:name w:val="toc 3"/>
    <w:basedOn w:val="1"/>
    <w:next w:val="1"/>
    <w:unhideWhenUsed/>
    <w:qFormat/>
    <w:uiPriority w:val="39"/>
    <w:pPr>
      <w:ind w:left="840" w:leftChars="400"/>
    </w:pPr>
  </w:style>
  <w:style w:type="paragraph" w:styleId="10">
    <w:name w:val="toc 8"/>
    <w:basedOn w:val="1"/>
    <w:next w:val="1"/>
    <w:unhideWhenUsed/>
    <w:qFormat/>
    <w:uiPriority w:val="39"/>
    <w:pPr>
      <w:ind w:left="2940" w:leftChars="1400"/>
    </w:pPr>
    <w:rPr>
      <w:rFonts w:ascii="Calibri" w:hAnsi="Calibri" w:eastAsia="宋体" w:cs="Times New Roman"/>
    </w:rPr>
  </w:style>
  <w:style w:type="paragraph" w:styleId="11">
    <w:name w:val="Date"/>
    <w:basedOn w:val="1"/>
    <w:next w:val="1"/>
    <w:link w:val="127"/>
    <w:unhideWhenUsed/>
    <w:qFormat/>
    <w:uiPriority w:val="99"/>
    <w:pPr>
      <w:ind w:left="100" w:leftChars="2500"/>
    </w:pPr>
  </w:style>
  <w:style w:type="paragraph" w:styleId="12">
    <w:name w:val="Balloon Text"/>
    <w:basedOn w:val="1"/>
    <w:link w:val="40"/>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sz w:val="18"/>
      <w:szCs w:val="18"/>
    </w:rPr>
  </w:style>
  <w:style w:type="paragraph" w:styleId="14">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spacing w:line="360" w:lineRule="auto"/>
      <w:jc w:val="left"/>
    </w:pPr>
    <w:rPr>
      <w:rFonts w:ascii="Times New Roman" w:hAnsi="Times New Roman" w:eastAsia="宋体" w:cs="Times New Roman"/>
      <w:szCs w:val="20"/>
    </w:rPr>
  </w:style>
  <w:style w:type="paragraph" w:styleId="16">
    <w:name w:val="toc 4"/>
    <w:basedOn w:val="1"/>
    <w:next w:val="1"/>
    <w:unhideWhenUsed/>
    <w:qFormat/>
    <w:uiPriority w:val="39"/>
    <w:pPr>
      <w:ind w:left="1260" w:leftChars="600"/>
    </w:pPr>
    <w:rPr>
      <w:rFonts w:ascii="Calibri" w:hAnsi="Calibri" w:eastAsia="宋体" w:cs="Times New Roman"/>
    </w:rPr>
  </w:style>
  <w:style w:type="paragraph" w:styleId="17">
    <w:name w:val="Subtitle"/>
    <w:basedOn w:val="1"/>
    <w:next w:val="1"/>
    <w:link w:val="63"/>
    <w:qFormat/>
    <w:uiPriority w:val="0"/>
    <w:pPr>
      <w:spacing w:line="500" w:lineRule="exact"/>
      <w:ind w:left="300" w:leftChars="300"/>
      <w:jc w:val="left"/>
      <w:outlineLvl w:val="3"/>
    </w:pPr>
    <w:rPr>
      <w:rFonts w:ascii="Calibri" w:hAnsi="Calibri" w:eastAsia="楷体_GB2312" w:cs="Times New Roman"/>
      <w:b/>
      <w:bCs/>
      <w:kern w:val="28"/>
      <w:sz w:val="32"/>
      <w:szCs w:val="32"/>
    </w:rPr>
  </w:style>
  <w:style w:type="paragraph" w:styleId="18">
    <w:name w:val="toc 6"/>
    <w:basedOn w:val="1"/>
    <w:next w:val="1"/>
    <w:unhideWhenUsed/>
    <w:qFormat/>
    <w:uiPriority w:val="39"/>
    <w:pPr>
      <w:ind w:left="2100" w:leftChars="1000"/>
    </w:pPr>
    <w:rPr>
      <w:rFonts w:ascii="Calibri" w:hAnsi="Calibri" w:eastAsia="宋体" w:cs="Times New Roman"/>
    </w:rPr>
  </w:style>
  <w:style w:type="paragraph" w:styleId="19">
    <w:name w:val="toc 2"/>
    <w:basedOn w:val="1"/>
    <w:next w:val="1"/>
    <w:unhideWhenUsed/>
    <w:qFormat/>
    <w:uiPriority w:val="39"/>
    <w:pPr>
      <w:ind w:left="420" w:leftChars="200"/>
    </w:pPr>
  </w:style>
  <w:style w:type="paragraph" w:styleId="20">
    <w:name w:val="toc 9"/>
    <w:basedOn w:val="1"/>
    <w:next w:val="1"/>
    <w:unhideWhenUsed/>
    <w:qFormat/>
    <w:uiPriority w:val="39"/>
    <w:pPr>
      <w:ind w:left="3360" w:leftChars="1600"/>
    </w:pPr>
    <w:rPr>
      <w:rFonts w:ascii="Calibri" w:hAnsi="Calibri" w:eastAsia="宋体" w:cs="Times New Roman"/>
    </w:r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49"/>
    <w:qFormat/>
    <w:uiPriority w:val="10"/>
    <w:pPr>
      <w:spacing w:before="240" w:after="60"/>
      <w:jc w:val="center"/>
      <w:outlineLvl w:val="0"/>
    </w:pPr>
    <w:rPr>
      <w:rFonts w:ascii="Calibri Light" w:hAnsi="Calibri Light" w:eastAsia="宋体" w:cs="Times New Roman"/>
      <w:b/>
      <w:bCs/>
      <w:kern w:val="0"/>
      <w:sz w:val="32"/>
      <w:szCs w:val="32"/>
    </w:rPr>
  </w:style>
  <w:style w:type="character" w:styleId="24">
    <w:name w:val="Strong"/>
    <w:basedOn w:val="23"/>
    <w:qFormat/>
    <w:uiPriority w:val="0"/>
    <w:rPr>
      <w:b/>
      <w:bCs/>
    </w:rPr>
  </w:style>
  <w:style w:type="character" w:styleId="25">
    <w:name w:val="page number"/>
    <w:basedOn w:val="23"/>
    <w:unhideWhenUsed/>
    <w:qFormat/>
    <w:uiPriority w:val="99"/>
  </w:style>
  <w:style w:type="character" w:styleId="26">
    <w:name w:val="FollowedHyperlink"/>
    <w:unhideWhenUsed/>
    <w:qFormat/>
    <w:uiPriority w:val="99"/>
    <w:rPr>
      <w:color w:val="800080"/>
      <w:u w:val="single"/>
    </w:rPr>
  </w:style>
  <w:style w:type="character" w:styleId="27">
    <w:name w:val="Emphasis"/>
    <w:basedOn w:val="23"/>
    <w:qFormat/>
    <w:uiPriority w:val="20"/>
    <w:rPr>
      <w:color w:val="CC0000"/>
    </w:rPr>
  </w:style>
  <w:style w:type="character" w:styleId="28">
    <w:name w:val="Hyperlink"/>
    <w:basedOn w:val="23"/>
    <w:unhideWhenUsed/>
    <w:qFormat/>
    <w:uiPriority w:val="99"/>
    <w:rPr>
      <w:color w:val="0000FF"/>
      <w:u w:val="single"/>
    </w:rPr>
  </w:style>
  <w:style w:type="character" w:styleId="29">
    <w:name w:val="footnote reference"/>
    <w:unhideWhenUsed/>
    <w:qFormat/>
    <w:uiPriority w:val="99"/>
    <w:rPr>
      <w:vertAlign w:val="superscript"/>
    </w:rPr>
  </w:style>
  <w:style w:type="table" w:styleId="31">
    <w:name w:val="Table Grid"/>
    <w:basedOn w:val="30"/>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2">
    <w:name w:val="页眉 Char"/>
    <w:basedOn w:val="23"/>
    <w:link w:val="14"/>
    <w:qFormat/>
    <w:uiPriority w:val="99"/>
    <w:rPr>
      <w:sz w:val="18"/>
      <w:szCs w:val="18"/>
    </w:rPr>
  </w:style>
  <w:style w:type="character" w:customStyle="1" w:styleId="33">
    <w:name w:val="页脚 Char"/>
    <w:basedOn w:val="23"/>
    <w:link w:val="13"/>
    <w:qFormat/>
    <w:uiPriority w:val="99"/>
    <w:rPr>
      <w:sz w:val="18"/>
      <w:szCs w:val="18"/>
    </w:rPr>
  </w:style>
  <w:style w:type="paragraph" w:styleId="34">
    <w:name w:val="List Paragraph"/>
    <w:basedOn w:val="1"/>
    <w:qFormat/>
    <w:uiPriority w:val="0"/>
    <w:pPr>
      <w:ind w:firstLine="420" w:firstLineChars="200"/>
    </w:pPr>
    <w:rPr>
      <w:rFonts w:ascii="Times New Roman" w:hAnsi="Times New Roman" w:eastAsia="宋体" w:cs="Times New Roman"/>
      <w:szCs w:val="20"/>
    </w:rPr>
  </w:style>
  <w:style w:type="character" w:customStyle="1" w:styleId="35">
    <w:name w:val="标题 1 Char"/>
    <w:basedOn w:val="23"/>
    <w:link w:val="2"/>
    <w:qFormat/>
    <w:uiPriority w:val="99"/>
    <w:rPr>
      <w:rFonts w:ascii="Tahoma" w:hAnsi="Tahoma" w:eastAsia="黑体" w:cs="Times New Roman"/>
      <w:b/>
      <w:bCs/>
      <w:kern w:val="44"/>
      <w:sz w:val="36"/>
      <w:szCs w:val="44"/>
    </w:rPr>
  </w:style>
  <w:style w:type="paragraph" w:customStyle="1" w:styleId="36">
    <w:name w:val="工艺1"/>
    <w:basedOn w:val="1"/>
    <w:qFormat/>
    <w:uiPriority w:val="0"/>
    <w:pPr>
      <w:widowControl/>
      <w:adjustRightInd w:val="0"/>
      <w:snapToGrid w:val="0"/>
      <w:spacing w:line="360" w:lineRule="auto"/>
      <w:jc w:val="left"/>
    </w:pPr>
    <w:rPr>
      <w:rFonts w:ascii="宋体" w:hAnsi="Times New Roman" w:eastAsia="宋体" w:cs="宋体"/>
      <w:b/>
      <w:kern w:val="0"/>
      <w:sz w:val="28"/>
      <w:szCs w:val="20"/>
    </w:rPr>
  </w:style>
  <w:style w:type="paragraph" w:customStyle="1" w:styleId="37">
    <w:name w:val="Char1"/>
    <w:basedOn w:val="1"/>
    <w:qFormat/>
    <w:uiPriority w:val="0"/>
    <w:rPr>
      <w:rFonts w:ascii="Times New Roman" w:hAnsi="Times New Roman" w:eastAsia="仿宋_GB2312" w:cs="Times New Roman"/>
      <w:sz w:val="32"/>
      <w:szCs w:val="20"/>
    </w:rPr>
  </w:style>
  <w:style w:type="character" w:customStyle="1" w:styleId="38">
    <w:name w:val="标题 3 Char"/>
    <w:basedOn w:val="23"/>
    <w:link w:val="4"/>
    <w:semiHidden/>
    <w:qFormat/>
    <w:uiPriority w:val="9"/>
    <w:rPr>
      <w:b/>
      <w:bCs/>
      <w:sz w:val="32"/>
      <w:szCs w:val="32"/>
    </w:rPr>
  </w:style>
  <w:style w:type="character" w:customStyle="1" w:styleId="39">
    <w:name w:val="apple-converted-space"/>
    <w:basedOn w:val="23"/>
    <w:qFormat/>
    <w:uiPriority w:val="0"/>
  </w:style>
  <w:style w:type="character" w:customStyle="1" w:styleId="40">
    <w:name w:val="批注框文本 Char"/>
    <w:basedOn w:val="23"/>
    <w:link w:val="12"/>
    <w:semiHidden/>
    <w:qFormat/>
    <w:uiPriority w:val="99"/>
    <w:rPr>
      <w:sz w:val="18"/>
      <w:szCs w:val="18"/>
    </w:rPr>
  </w:style>
  <w:style w:type="character" w:customStyle="1" w:styleId="41">
    <w:name w:val="标题 1 Char1"/>
    <w:qFormat/>
    <w:uiPriority w:val="9"/>
    <w:rPr>
      <w:rFonts w:ascii="Times New Roman" w:hAnsi="Times New Roman" w:eastAsia="宋体" w:cs="Times New Roman"/>
      <w:b/>
      <w:bCs/>
      <w:kern w:val="44"/>
      <w:sz w:val="44"/>
      <w:szCs w:val="44"/>
    </w:rPr>
  </w:style>
  <w:style w:type="character" w:customStyle="1" w:styleId="42">
    <w:name w:val="标题 2 字符"/>
    <w:basedOn w:val="23"/>
    <w:semiHidden/>
    <w:qFormat/>
    <w:uiPriority w:val="9"/>
    <w:rPr>
      <w:rFonts w:asciiTheme="majorHAnsi" w:hAnsiTheme="majorHAnsi" w:eastAsiaTheme="majorEastAsia" w:cstheme="majorBidi"/>
      <w:b/>
      <w:bCs/>
      <w:sz w:val="32"/>
      <w:szCs w:val="32"/>
    </w:rPr>
  </w:style>
  <w:style w:type="character" w:customStyle="1" w:styleId="43">
    <w:name w:val="标题 2 Char"/>
    <w:link w:val="3"/>
    <w:qFormat/>
    <w:uiPriority w:val="0"/>
    <w:rPr>
      <w:rFonts w:ascii="华文中宋" w:hAnsi="华文中宋" w:eastAsia="华文中宋" w:cs="Times New Roman"/>
      <w:bCs/>
      <w:color w:val="000000"/>
      <w:kern w:val="0"/>
      <w:sz w:val="32"/>
      <w:szCs w:val="32"/>
      <w:lang w:val="zh-CN" w:eastAsia="zh-CN"/>
    </w:rPr>
  </w:style>
  <w:style w:type="character" w:customStyle="1" w:styleId="44">
    <w:name w:val="标题 3 Char1"/>
    <w:qFormat/>
    <w:uiPriority w:val="9"/>
    <w:rPr>
      <w:rFonts w:ascii="Times New Roman" w:hAnsi="Times New Roman" w:eastAsia="宋体" w:cs="Times New Roman"/>
      <w:b/>
      <w:bCs/>
      <w:sz w:val="32"/>
      <w:szCs w:val="32"/>
    </w:rPr>
  </w:style>
  <w:style w:type="paragraph" w:customStyle="1" w:styleId="45">
    <w:name w:val="TOC 标题1"/>
    <w:basedOn w:val="2"/>
    <w:next w:val="1"/>
    <w:unhideWhenUsed/>
    <w:qFormat/>
    <w:uiPriority w:val="39"/>
    <w:pPr>
      <w:adjustRightInd/>
      <w:snapToGrid/>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 w:type="character" w:customStyle="1" w:styleId="46">
    <w:name w:val="标题 2 Char1"/>
    <w:qFormat/>
    <w:uiPriority w:val="0"/>
    <w:rPr>
      <w:rFonts w:ascii="华文中宋" w:hAnsi="华文中宋" w:eastAsia="华文中宋" w:cs="Times New Roman"/>
      <w:bCs/>
      <w:color w:val="000000"/>
      <w:kern w:val="0"/>
      <w:sz w:val="32"/>
      <w:szCs w:val="32"/>
    </w:rPr>
  </w:style>
  <w:style w:type="paragraph" w:customStyle="1" w:styleId="47">
    <w:name w:val="Char Char Char Char Char Char Char"/>
    <w:basedOn w:val="1"/>
    <w:qFormat/>
    <w:uiPriority w:val="0"/>
    <w:pPr>
      <w:widowControl/>
      <w:spacing w:after="160" w:line="240" w:lineRule="exact"/>
      <w:jc w:val="left"/>
    </w:pPr>
    <w:rPr>
      <w:rFonts w:ascii="Arial" w:hAnsi="Arial" w:eastAsia="宋体" w:cs="Arial"/>
      <w:b/>
      <w:bCs/>
      <w:kern w:val="0"/>
      <w:sz w:val="24"/>
      <w:szCs w:val="24"/>
      <w:lang w:eastAsia="en-US"/>
    </w:rPr>
  </w:style>
  <w:style w:type="paragraph" w:customStyle="1" w:styleId="48">
    <w:name w:val="Default"/>
    <w:qFormat/>
    <w:uiPriority w:val="0"/>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character" w:customStyle="1" w:styleId="49">
    <w:name w:val="标题 Char"/>
    <w:basedOn w:val="23"/>
    <w:link w:val="22"/>
    <w:qFormat/>
    <w:uiPriority w:val="10"/>
    <w:rPr>
      <w:rFonts w:ascii="Calibri Light" w:hAnsi="Calibri Light" w:eastAsia="宋体" w:cs="Times New Roman"/>
      <w:b/>
      <w:bCs/>
      <w:sz w:val="32"/>
      <w:szCs w:val="32"/>
    </w:rPr>
  </w:style>
  <w:style w:type="paragraph" w:customStyle="1" w:styleId="50">
    <w:name w:val="样式1"/>
    <w:basedOn w:val="1"/>
    <w:qFormat/>
    <w:uiPriority w:val="0"/>
    <w:pPr>
      <w:ind w:firstLine="200" w:firstLineChars="200"/>
    </w:pPr>
    <w:rPr>
      <w:rFonts w:ascii="宋体" w:hAnsi="宋体" w:eastAsia="宋体" w:cs="Times New Roman"/>
      <w:b/>
      <w:color w:val="000000"/>
      <w:sz w:val="28"/>
      <w:szCs w:val="28"/>
    </w:rPr>
  </w:style>
  <w:style w:type="paragraph" w:customStyle="1" w:styleId="51">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2">
    <w:name w:val="real zw"/>
    <w:basedOn w:val="1"/>
    <w:link w:val="53"/>
    <w:qFormat/>
    <w:uiPriority w:val="0"/>
    <w:pPr>
      <w:spacing w:line="500" w:lineRule="exact"/>
      <w:ind w:firstLine="566" w:firstLineChars="202"/>
    </w:pPr>
    <w:rPr>
      <w:rFonts w:ascii="宋体" w:hAnsi="宋体" w:eastAsia="宋体" w:cs="Times New Roman"/>
      <w:bCs/>
      <w:color w:val="000000"/>
      <w:kern w:val="0"/>
      <w:sz w:val="28"/>
      <w:szCs w:val="20"/>
    </w:rPr>
  </w:style>
  <w:style w:type="character" w:customStyle="1" w:styleId="53">
    <w:name w:val="real zw Char"/>
    <w:link w:val="52"/>
    <w:qFormat/>
    <w:uiPriority w:val="0"/>
    <w:rPr>
      <w:rFonts w:ascii="宋体" w:hAnsi="宋体" w:eastAsia="宋体" w:cs="Times New Roman"/>
      <w:bCs/>
      <w:color w:val="000000"/>
      <w:sz w:val="28"/>
    </w:rPr>
  </w:style>
  <w:style w:type="character" w:customStyle="1" w:styleId="54">
    <w:name w:val="CharAttribute11"/>
    <w:qFormat/>
    <w:uiPriority w:val="0"/>
    <w:rPr>
      <w:rFonts w:ascii="仿宋_GB2312" w:eastAsia="仿宋_GB2312"/>
      <w:sz w:val="30"/>
    </w:rPr>
  </w:style>
  <w:style w:type="paragraph" w:customStyle="1" w:styleId="55">
    <w:name w:val="鲁的正文"/>
    <w:basedOn w:val="34"/>
    <w:qFormat/>
    <w:uiPriority w:val="0"/>
    <w:pPr>
      <w:widowControl/>
      <w:spacing w:line="500" w:lineRule="exact"/>
      <w:ind w:firstLine="560"/>
    </w:pPr>
    <w:rPr>
      <w:rFonts w:eastAsia="方正仿宋简体"/>
      <w:color w:val="000000"/>
      <w:kern w:val="0"/>
      <w:sz w:val="28"/>
      <w:szCs w:val="28"/>
    </w:rPr>
  </w:style>
  <w:style w:type="character" w:customStyle="1" w:styleId="56">
    <w:name w:val="文档结构图 Char"/>
    <w:basedOn w:val="23"/>
    <w:link w:val="7"/>
    <w:semiHidden/>
    <w:qFormat/>
    <w:uiPriority w:val="99"/>
    <w:rPr>
      <w:rFonts w:ascii="宋体" w:hAnsi="Calibri" w:eastAsia="宋体" w:cs="Times New Roman"/>
      <w:sz w:val="18"/>
      <w:szCs w:val="18"/>
    </w:rPr>
  </w:style>
  <w:style w:type="paragraph" w:customStyle="1" w:styleId="57">
    <w:name w:val="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8">
    <w:name w:val="Char"/>
    <w:basedOn w:val="1"/>
    <w:qFormat/>
    <w:uiPriority w:val="0"/>
    <w:rPr>
      <w:rFonts w:ascii="Times New Roman" w:hAnsi="Times New Roman" w:eastAsia="宋体" w:cs="Times New Roman"/>
      <w:szCs w:val="20"/>
    </w:rPr>
  </w:style>
  <w:style w:type="paragraph" w:customStyle="1" w:styleId="59">
    <w:name w:val="列出段落1"/>
    <w:basedOn w:val="1"/>
    <w:qFormat/>
    <w:uiPriority w:val="0"/>
    <w:pPr>
      <w:ind w:firstLine="420" w:firstLineChars="200"/>
    </w:pPr>
    <w:rPr>
      <w:rFonts w:ascii="Calibri" w:hAnsi="Calibri" w:eastAsia="宋体" w:cs="Times New Roman"/>
    </w:rPr>
  </w:style>
  <w:style w:type="paragraph" w:customStyle="1" w:styleId="60">
    <w:name w:val="pictex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Char Char6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2">
    <w:name w:val="Char Char4 Char Char"/>
    <w:basedOn w:val="1"/>
    <w:qFormat/>
    <w:uiPriority w:val="0"/>
    <w:pPr>
      <w:widowControl/>
      <w:spacing w:after="160" w:line="240" w:lineRule="exact"/>
      <w:jc w:val="left"/>
    </w:pPr>
    <w:rPr>
      <w:rFonts w:ascii="Times New Roman" w:hAnsi="Times New Roman" w:eastAsia="宋体" w:cs="Times New Roman"/>
      <w:szCs w:val="20"/>
    </w:rPr>
  </w:style>
  <w:style w:type="character" w:customStyle="1" w:styleId="63">
    <w:name w:val="副标题 Char"/>
    <w:basedOn w:val="23"/>
    <w:link w:val="17"/>
    <w:qFormat/>
    <w:uiPriority w:val="0"/>
    <w:rPr>
      <w:rFonts w:ascii="Calibri" w:hAnsi="Calibri" w:eastAsia="楷体_GB2312" w:cs="Times New Roman"/>
      <w:b/>
      <w:bCs/>
      <w:kern w:val="28"/>
      <w:sz w:val="32"/>
      <w:szCs w:val="32"/>
    </w:rPr>
  </w:style>
  <w:style w:type="paragraph" w:customStyle="1" w:styleId="64">
    <w:name w:val="标题3"/>
    <w:basedOn w:val="17"/>
    <w:qFormat/>
    <w:uiPriority w:val="0"/>
    <w:pPr>
      <w:ind w:left="630"/>
      <w:jc w:val="both"/>
    </w:pPr>
    <w:rPr>
      <w:rFonts w:eastAsia="方正仿宋简体"/>
      <w:color w:val="000000"/>
      <w:kern w:val="0"/>
      <w:sz w:val="28"/>
      <w:szCs w:val="28"/>
    </w:rPr>
  </w:style>
  <w:style w:type="paragraph" w:customStyle="1" w:styleId="65">
    <w:name w:val="Char Char2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6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69">
    <w:name w:val="font7"/>
    <w:basedOn w:val="1"/>
    <w:qFormat/>
    <w:uiPriority w:val="0"/>
    <w:pPr>
      <w:widowControl/>
      <w:spacing w:before="100" w:beforeAutospacing="1" w:after="100" w:afterAutospacing="1"/>
      <w:jc w:val="left"/>
    </w:pPr>
    <w:rPr>
      <w:rFonts w:ascii="Tahoma" w:hAnsi="Tahoma" w:eastAsia="宋体" w:cs="Tahoma"/>
      <w:kern w:val="0"/>
      <w:sz w:val="18"/>
      <w:szCs w:val="18"/>
    </w:rPr>
  </w:style>
  <w:style w:type="paragraph" w:customStyle="1" w:styleId="70">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1">
    <w:name w:val="font9"/>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2">
    <w:name w:val="font1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3">
    <w:name w:val="font11"/>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74">
    <w:name w:val="font12"/>
    <w:basedOn w:val="1"/>
    <w:qFormat/>
    <w:uiPriority w:val="0"/>
    <w:pPr>
      <w:widowControl/>
      <w:spacing w:before="100" w:beforeAutospacing="1" w:after="100" w:afterAutospacing="1"/>
      <w:jc w:val="left"/>
    </w:pPr>
    <w:rPr>
      <w:rFonts w:ascii="宋体" w:hAnsi="宋体" w:eastAsia="宋体" w:cs="宋体"/>
      <w:b/>
      <w:bCs/>
      <w:kern w:val="0"/>
      <w:sz w:val="36"/>
      <w:szCs w:val="36"/>
    </w:rPr>
  </w:style>
  <w:style w:type="paragraph" w:customStyle="1" w:styleId="75">
    <w:name w:val="xl44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6">
    <w:name w:val="xl446"/>
    <w:basedOn w:val="1"/>
    <w:qFormat/>
    <w:uiPriority w:val="0"/>
    <w:pPr>
      <w:widowControl/>
      <w:spacing w:before="100" w:beforeAutospacing="1" w:after="100" w:afterAutospacing="1"/>
      <w:jc w:val="center"/>
      <w:textAlignment w:val="center"/>
    </w:pPr>
    <w:rPr>
      <w:rFonts w:ascii="宋体" w:hAnsi="宋体" w:eastAsia="宋体" w:cs="宋体"/>
      <w:kern w:val="0"/>
      <w:sz w:val="18"/>
      <w:szCs w:val="18"/>
    </w:rPr>
  </w:style>
  <w:style w:type="paragraph" w:customStyle="1" w:styleId="77">
    <w:name w:val="xl447"/>
    <w:basedOn w:val="1"/>
    <w:qFormat/>
    <w:uiPriority w:val="0"/>
    <w:pPr>
      <w:widowControl/>
      <w:spacing w:before="100" w:beforeAutospacing="1" w:after="100" w:afterAutospacing="1"/>
      <w:jc w:val="center"/>
      <w:textAlignment w:val="center"/>
    </w:pPr>
    <w:rPr>
      <w:rFonts w:ascii="宋体" w:hAnsi="宋体" w:eastAsia="宋体" w:cs="宋体"/>
      <w:color w:val="FF0000"/>
      <w:kern w:val="0"/>
      <w:sz w:val="18"/>
      <w:szCs w:val="18"/>
    </w:rPr>
  </w:style>
  <w:style w:type="paragraph" w:customStyle="1" w:styleId="78">
    <w:name w:val="xl448"/>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9">
    <w:name w:val="xl449"/>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80">
    <w:name w:val="xl450"/>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Times New Roman" w:hAnsi="Times New Roman" w:eastAsia="宋体" w:cs="Times New Roman"/>
      <w:b/>
      <w:bCs/>
      <w:kern w:val="0"/>
      <w:sz w:val="36"/>
      <w:szCs w:val="36"/>
    </w:rPr>
  </w:style>
  <w:style w:type="paragraph" w:customStyle="1" w:styleId="81">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82">
    <w:name w:val="xl4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83">
    <w:name w:val="xl4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84">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85">
    <w:name w:val="xl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36"/>
      <w:szCs w:val="36"/>
    </w:rPr>
  </w:style>
  <w:style w:type="paragraph" w:customStyle="1" w:styleId="86">
    <w:name w:val="xl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87">
    <w:name w:val="xl4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88">
    <w:name w:val="xl458"/>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textAlignment w:val="center"/>
    </w:pPr>
    <w:rPr>
      <w:rFonts w:ascii="Times New Roman" w:hAnsi="Times New Roman" w:eastAsia="宋体" w:cs="Times New Roman"/>
      <w:b/>
      <w:bCs/>
      <w:kern w:val="0"/>
      <w:sz w:val="36"/>
      <w:szCs w:val="36"/>
    </w:rPr>
  </w:style>
  <w:style w:type="paragraph" w:customStyle="1" w:styleId="89">
    <w:name w:val="xl4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90">
    <w:name w:val="xl460"/>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textAlignment w:val="center"/>
    </w:pPr>
    <w:rPr>
      <w:rFonts w:ascii="Times New Roman" w:hAnsi="Times New Roman" w:eastAsia="宋体" w:cs="Times New Roman"/>
      <w:b/>
      <w:bCs/>
      <w:kern w:val="0"/>
      <w:sz w:val="36"/>
      <w:szCs w:val="36"/>
    </w:rPr>
  </w:style>
  <w:style w:type="paragraph" w:customStyle="1" w:styleId="91">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92">
    <w:name w:val="xl4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93">
    <w:name w:val="xl463"/>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94">
    <w:name w:val="xl4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b/>
      <w:bCs/>
      <w:kern w:val="0"/>
      <w:sz w:val="36"/>
      <w:szCs w:val="36"/>
    </w:rPr>
  </w:style>
  <w:style w:type="paragraph" w:customStyle="1" w:styleId="95">
    <w:name w:val="xl465"/>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Times New Roman" w:hAnsi="Times New Roman" w:eastAsia="宋体" w:cs="Times New Roman"/>
      <w:b/>
      <w:bCs/>
      <w:kern w:val="0"/>
      <w:sz w:val="36"/>
      <w:szCs w:val="36"/>
    </w:rPr>
  </w:style>
  <w:style w:type="paragraph" w:customStyle="1" w:styleId="96">
    <w:name w:val="xl4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97">
    <w:name w:val="xl4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98">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99">
    <w:name w:val="xl4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0">
    <w:name w:val="xl4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1">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2">
    <w:name w:val="xl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3">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4">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5">
    <w:name w:val="xl4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6">
    <w:name w:val="xl4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36"/>
      <w:szCs w:val="36"/>
    </w:rPr>
  </w:style>
  <w:style w:type="paragraph" w:customStyle="1" w:styleId="107">
    <w:name w:val="xl4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08">
    <w:name w:val="xl4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36"/>
      <w:szCs w:val="36"/>
    </w:rPr>
  </w:style>
  <w:style w:type="paragraph" w:customStyle="1" w:styleId="109">
    <w:name w:val="xl4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0">
    <w:name w:val="xl480"/>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111">
    <w:name w:val="xl4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2">
    <w:name w:val="xl4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3">
    <w:name w:val="xl4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4">
    <w:name w:val="xl484"/>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115">
    <w:name w:val="xl4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6">
    <w:name w:val="xl4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17">
    <w:name w:val="xl4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18">
    <w:name w:val="xl4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36"/>
      <w:szCs w:val="36"/>
    </w:rPr>
  </w:style>
  <w:style w:type="paragraph" w:customStyle="1" w:styleId="119">
    <w:name w:val="xl489"/>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textAlignment w:val="center"/>
    </w:pPr>
    <w:rPr>
      <w:rFonts w:ascii="宋体" w:hAnsi="宋体" w:eastAsia="宋体" w:cs="宋体"/>
      <w:b/>
      <w:bCs/>
      <w:kern w:val="0"/>
      <w:sz w:val="36"/>
      <w:szCs w:val="36"/>
    </w:rPr>
  </w:style>
  <w:style w:type="paragraph" w:customStyle="1" w:styleId="120">
    <w:name w:val="xl490"/>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kern w:val="0"/>
      <w:sz w:val="36"/>
      <w:szCs w:val="36"/>
    </w:rPr>
  </w:style>
  <w:style w:type="paragraph" w:customStyle="1" w:styleId="121">
    <w:name w:val="xl491"/>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b/>
      <w:bCs/>
      <w:kern w:val="0"/>
      <w:sz w:val="24"/>
      <w:szCs w:val="24"/>
    </w:rPr>
  </w:style>
  <w:style w:type="paragraph" w:customStyle="1" w:styleId="122">
    <w:name w:val="xl492"/>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jc w:val="center"/>
      <w:textAlignment w:val="center"/>
    </w:pPr>
    <w:rPr>
      <w:rFonts w:ascii="宋体" w:hAnsi="宋体" w:eastAsia="宋体" w:cs="宋体"/>
      <w:kern w:val="0"/>
      <w:sz w:val="36"/>
      <w:szCs w:val="36"/>
    </w:rPr>
  </w:style>
  <w:style w:type="paragraph" w:customStyle="1" w:styleId="123">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仿宋_GB2312" w:hAnsi="宋体" w:eastAsia="仿宋_GB2312" w:cs="宋体"/>
      <w:kern w:val="0"/>
      <w:sz w:val="36"/>
      <w:szCs w:val="36"/>
    </w:rPr>
  </w:style>
  <w:style w:type="paragraph" w:customStyle="1" w:styleId="124">
    <w:name w:val="xl4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36"/>
      <w:szCs w:val="36"/>
    </w:rPr>
  </w:style>
  <w:style w:type="paragraph" w:customStyle="1" w:styleId="125">
    <w:name w:val="xl495"/>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textAlignment w:val="center"/>
    </w:pPr>
    <w:rPr>
      <w:rFonts w:ascii="宋体" w:hAnsi="宋体" w:eastAsia="宋体" w:cs="宋体"/>
      <w:b/>
      <w:bCs/>
      <w:kern w:val="0"/>
      <w:sz w:val="36"/>
      <w:szCs w:val="36"/>
    </w:rPr>
  </w:style>
  <w:style w:type="paragraph" w:customStyle="1" w:styleId="126">
    <w:name w:val="xl496"/>
    <w:basedOn w:val="1"/>
    <w:qFormat/>
    <w:uiPriority w:val="0"/>
    <w:pPr>
      <w:widowControl/>
      <w:pBdr>
        <w:top w:val="single" w:color="auto" w:sz="4" w:space="0"/>
        <w:left w:val="single" w:color="auto" w:sz="4" w:space="0"/>
        <w:bottom w:val="single" w:color="auto" w:sz="4" w:space="0"/>
        <w:right w:val="single" w:color="auto" w:sz="4" w:space="0"/>
      </w:pBdr>
      <w:shd w:val="clear" w:color="000000" w:fill="FFCC00"/>
      <w:spacing w:before="100" w:beforeAutospacing="1" w:after="100" w:afterAutospacing="1"/>
      <w:textAlignment w:val="center"/>
    </w:pPr>
    <w:rPr>
      <w:rFonts w:ascii="宋体" w:hAnsi="宋体" w:eastAsia="宋体" w:cs="宋体"/>
      <w:b/>
      <w:bCs/>
      <w:kern w:val="0"/>
      <w:sz w:val="36"/>
      <w:szCs w:val="36"/>
    </w:rPr>
  </w:style>
  <w:style w:type="character" w:customStyle="1" w:styleId="127">
    <w:name w:val="日期 Char"/>
    <w:basedOn w:val="23"/>
    <w:link w:val="11"/>
    <w:semiHidden/>
    <w:qFormat/>
    <w:uiPriority w:val="99"/>
    <w:rPr>
      <w:kern w:val="2"/>
      <w:sz w:val="21"/>
      <w:szCs w:val="22"/>
    </w:rPr>
  </w:style>
  <w:style w:type="paragraph" w:customStyle="1" w:styleId="128">
    <w:name w:val="TOC Heading"/>
    <w:basedOn w:val="2"/>
    <w:next w:val="1"/>
    <w:unhideWhenUsed/>
    <w:qFormat/>
    <w:uiPriority w:val="39"/>
    <w:pPr>
      <w:adjustRightInd/>
      <w:snapToGrid/>
      <w:spacing w:before="480" w:after="0" w:line="276" w:lineRule="auto"/>
      <w:jc w:val="left"/>
      <w:outlineLvl w:val="9"/>
    </w:pPr>
    <w:rPr>
      <w:rFonts w:asciiTheme="majorHAnsi" w:hAnsiTheme="majorHAnsi" w:eastAsiaTheme="majorEastAsia" w:cstheme="majorBidi"/>
      <w:color w:val="2E75B5"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Sheet1!$E$9</c:f>
              <c:strCache>
                <c:ptCount val="1"/>
                <c:pt idx="0">
                  <c:v>战略性新兴产业产值（亿元）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Sheet1!$F$8:$L$8</c:f>
              <c:strCache>
                <c:ptCount val="7"/>
                <c:pt idx="0">
                  <c:v>2010年</c:v>
                </c:pt>
                <c:pt idx="1">
                  <c:v>2011年</c:v>
                </c:pt>
                <c:pt idx="2">
                  <c:v>2012年</c:v>
                </c:pt>
                <c:pt idx="3">
                  <c:v>2013年</c:v>
                </c:pt>
                <c:pt idx="4">
                  <c:v>2014年</c:v>
                </c:pt>
                <c:pt idx="5">
                  <c:v>2015年</c:v>
                </c:pt>
                <c:pt idx="6">
                  <c:v>2016年</c:v>
                </c:pt>
              </c:strCache>
            </c:strRef>
          </c:cat>
          <c:val>
            <c:numRef>
              <c:f>Sheet1!$F$9:$L$9</c:f>
              <c:numCache>
                <c:formatCode>General</c:formatCode>
                <c:ptCount val="7"/>
                <c:pt idx="0">
                  <c:v>50.1</c:v>
                </c:pt>
                <c:pt idx="1">
                  <c:v>100.8</c:v>
                </c:pt>
                <c:pt idx="2">
                  <c:v>181.1</c:v>
                </c:pt>
                <c:pt idx="3">
                  <c:v>277</c:v>
                </c:pt>
                <c:pt idx="4">
                  <c:v>357.6</c:v>
                </c:pt>
                <c:pt idx="5">
                  <c:v>445</c:v>
                </c:pt>
                <c:pt idx="6">
                  <c:v>515.4</c:v>
                </c:pt>
              </c:numCache>
            </c:numRef>
          </c:val>
        </c:ser>
        <c:dLbls>
          <c:showLegendKey val="0"/>
          <c:showVal val="1"/>
          <c:showCatName val="0"/>
          <c:showSerName val="0"/>
          <c:showPercent val="0"/>
          <c:showBubbleSize val="0"/>
        </c:dLbls>
        <c:gapWidth val="150"/>
        <c:axId val="249092352"/>
        <c:axId val="249112064"/>
      </c:barChart>
      <c:lineChart>
        <c:grouping val="standard"/>
        <c:varyColors val="0"/>
        <c:ser>
          <c:idx val="1"/>
          <c:order val="1"/>
          <c:tx>
            <c:strRef>
              <c:f>Sheet1!$E$10</c:f>
              <c:strCache>
                <c:ptCount val="1"/>
                <c:pt idx="0">
                  <c:v>占全市工业总产值比重（%）</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Sheet1!$F$8:$L$8</c:f>
              <c:strCache>
                <c:ptCount val="7"/>
                <c:pt idx="0">
                  <c:v>2010年</c:v>
                </c:pt>
                <c:pt idx="1">
                  <c:v>2011年</c:v>
                </c:pt>
                <c:pt idx="2">
                  <c:v>2012年</c:v>
                </c:pt>
                <c:pt idx="3">
                  <c:v>2013年</c:v>
                </c:pt>
                <c:pt idx="4">
                  <c:v>2014年</c:v>
                </c:pt>
                <c:pt idx="5">
                  <c:v>2015年</c:v>
                </c:pt>
                <c:pt idx="6">
                  <c:v>2016年</c:v>
                </c:pt>
              </c:strCache>
            </c:strRef>
          </c:cat>
          <c:val>
            <c:numRef>
              <c:f>Sheet1!$F$10:$L$10</c:f>
              <c:numCache>
                <c:formatCode>General</c:formatCode>
                <c:ptCount val="7"/>
                <c:pt idx="0">
                  <c:v>2.1</c:v>
                </c:pt>
                <c:pt idx="1">
                  <c:v>3.2</c:v>
                </c:pt>
                <c:pt idx="2">
                  <c:v>5</c:v>
                </c:pt>
                <c:pt idx="3">
                  <c:v>7.1</c:v>
                </c:pt>
                <c:pt idx="4">
                  <c:v>8.3</c:v>
                </c:pt>
                <c:pt idx="5">
                  <c:v>10</c:v>
                </c:pt>
                <c:pt idx="6">
                  <c:v>11</c:v>
                </c:pt>
              </c:numCache>
            </c:numRef>
          </c:val>
          <c:smooth val="0"/>
        </c:ser>
        <c:dLbls>
          <c:showLegendKey val="0"/>
          <c:showVal val="1"/>
          <c:showCatName val="0"/>
          <c:showSerName val="0"/>
          <c:showPercent val="0"/>
          <c:showBubbleSize val="0"/>
        </c:dLbls>
        <c:marker val="1"/>
        <c:smooth val="0"/>
        <c:axId val="249113600"/>
        <c:axId val="249225600"/>
      </c:lineChart>
      <c:catAx>
        <c:axId val="24909235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2064"/>
        <c:crosses val="autoZero"/>
        <c:auto val="1"/>
        <c:lblAlgn val="ctr"/>
        <c:lblOffset val="100"/>
        <c:noMultiLvlLbl val="0"/>
      </c:catAx>
      <c:valAx>
        <c:axId val="24911206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092352"/>
        <c:crosses val="autoZero"/>
        <c:crossBetween val="between"/>
      </c:valAx>
      <c:catAx>
        <c:axId val="249113600"/>
        <c:scaling>
          <c:orientation val="minMax"/>
        </c:scaling>
        <c:delete val="1"/>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225600"/>
        <c:crosses val="autoZero"/>
        <c:auto val="1"/>
        <c:lblAlgn val="ctr"/>
        <c:lblOffset val="100"/>
        <c:noMultiLvlLbl val="0"/>
      </c:catAx>
      <c:valAx>
        <c:axId val="249225600"/>
        <c:scaling>
          <c:orientation val="minMax"/>
        </c:scaling>
        <c:delete val="0"/>
        <c:axPos val="r"/>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49113600"/>
        <c:crosses val="max"/>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023F73-A82A-4873-A0C1-8E037730CA2F}">
  <ds:schemaRefs/>
</ds:datastoreItem>
</file>

<file path=docProps/app.xml><?xml version="1.0" encoding="utf-8"?>
<Properties xmlns="http://schemas.openxmlformats.org/officeDocument/2006/extended-properties" xmlns:vt="http://schemas.openxmlformats.org/officeDocument/2006/docPropsVTypes">
  <Template>Normal</Template>
  <Pages>1</Pages>
  <Words>7002</Words>
  <Characters>39916</Characters>
  <Lines>332</Lines>
  <Paragraphs>93</Paragraphs>
  <TotalTime>3</TotalTime>
  <ScaleCrop>false</ScaleCrop>
  <LinksUpToDate>false</LinksUpToDate>
  <CharactersWithSpaces>46825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2018-01-02T01:09:00Z</dcterms:created>
  <dc:creator>jeremysurface</dc:creator>
  <cp:lastModifiedBy>文旅</cp:lastModifiedBy>
  <cp:lastPrinted>2017-12-14T09:22:00Z</cp:lastPrinted>
  <dcterms:modified xsi:type="dcterms:W3CDTF">2019-05-28T07:21:34Z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