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1F609">
      <w:pPr>
        <w:spacing w:line="440" w:lineRule="exact"/>
        <w:jc w:val="right"/>
        <w:rPr>
          <w:rFonts w:ascii="仿宋_GB2312" w:hAnsi="Times New Roman" w:eastAsia="仿宋_GB2312"/>
          <w:sz w:val="32"/>
          <w:szCs w:val="32"/>
        </w:rPr>
      </w:pPr>
    </w:p>
    <w:p w14:paraId="0C2BF05E">
      <w:pPr>
        <w:spacing w:line="440" w:lineRule="exact"/>
        <w:jc w:val="right"/>
        <w:rPr>
          <w:rFonts w:ascii="仿宋_GB2312" w:hAnsi="Times New Roman" w:eastAsia="仿宋_GB2312"/>
          <w:sz w:val="32"/>
          <w:szCs w:val="32"/>
        </w:rPr>
      </w:pPr>
    </w:p>
    <w:p w14:paraId="6E520986">
      <w:pPr>
        <w:spacing w:line="440" w:lineRule="exact"/>
        <w:jc w:val="right"/>
        <w:rPr>
          <w:rFonts w:ascii="Times New Roman" w:hAnsi="Times New Roman" w:eastAsia="仿宋_GB2312"/>
          <w:sz w:val="28"/>
          <w:szCs w:val="28"/>
        </w:rPr>
      </w:pPr>
    </w:p>
    <w:p w14:paraId="46169865">
      <w:pPr>
        <w:spacing w:line="440" w:lineRule="exact"/>
        <w:jc w:val="right"/>
        <w:rPr>
          <w:rFonts w:ascii="仿宋_GB2312" w:hAnsi="Times New Roman" w:eastAsia="仿宋_GB2312"/>
          <w:sz w:val="32"/>
          <w:szCs w:val="32"/>
        </w:rPr>
      </w:pPr>
    </w:p>
    <w:p w14:paraId="1B25A11A">
      <w:pPr>
        <w:spacing w:line="440" w:lineRule="exact"/>
        <w:jc w:val="right"/>
        <w:rPr>
          <w:rFonts w:ascii="仿宋_GB2312" w:hAnsi="Times New Roman" w:eastAsia="仿宋_GB2312"/>
          <w:sz w:val="32"/>
          <w:szCs w:val="32"/>
        </w:rPr>
      </w:pPr>
    </w:p>
    <w:p w14:paraId="5FA86082">
      <w:pPr>
        <w:spacing w:line="900" w:lineRule="exact"/>
        <w:jc w:val="center"/>
        <w:rPr>
          <w:rFonts w:ascii="方正小标宋简体" w:hAnsi="Times New Roman" w:eastAsia="方正小标宋简体"/>
          <w:color w:val="FF0000"/>
          <w:spacing w:val="120"/>
          <w:sz w:val="52"/>
          <w:szCs w:val="52"/>
        </w:rPr>
      </w:pPr>
      <w:r>
        <w:rPr>
          <w:rFonts w:hint="eastAsia" w:ascii="方正小标宋简体" w:hAnsi="Times New Roman" w:eastAsia="方正小标宋简体"/>
          <w:color w:val="FF0000"/>
          <w:spacing w:val="120"/>
          <w:sz w:val="52"/>
          <w:szCs w:val="52"/>
        </w:rPr>
        <w:t>广西壮族自治区</w:t>
      </w:r>
    </w:p>
    <w:p w14:paraId="3B07CF69">
      <w:pPr>
        <w:spacing w:line="1200" w:lineRule="exact"/>
        <w:jc w:val="center"/>
        <w:rPr>
          <w:rFonts w:ascii="方正小标宋简体" w:hAnsi="Times New Roman" w:eastAsia="方正小标宋简体"/>
          <w:color w:val="FF0000"/>
          <w:spacing w:val="20"/>
          <w:sz w:val="96"/>
          <w:szCs w:val="96"/>
        </w:rPr>
      </w:pPr>
      <w:r>
        <w:rPr>
          <w:rFonts w:hint="eastAsia" w:ascii="方正小标宋简体" w:hAnsi="Times New Roman" w:eastAsia="方正小标宋简体"/>
          <w:color w:val="FF0000"/>
          <w:spacing w:val="20"/>
          <w:sz w:val="96"/>
          <w:szCs w:val="96"/>
        </w:rPr>
        <w:t>科学技术厅文件</w:t>
      </w:r>
    </w:p>
    <w:p w14:paraId="1F1CC644">
      <w:pPr>
        <w:spacing w:line="260" w:lineRule="exact"/>
        <w:jc w:val="center"/>
        <w:rPr>
          <w:rFonts w:ascii="仿宋_GB2312" w:hAnsi="Times New Roman" w:eastAsia="仿宋_GB2312"/>
          <w:sz w:val="32"/>
          <w:szCs w:val="32"/>
        </w:rPr>
      </w:pPr>
    </w:p>
    <w:p w14:paraId="7AB2C99C">
      <w:pPr>
        <w:spacing w:line="260" w:lineRule="exact"/>
        <w:jc w:val="center"/>
        <w:rPr>
          <w:rFonts w:ascii="仿宋_GB2312" w:hAnsi="Times New Roman" w:eastAsia="仿宋_GB2312"/>
          <w:sz w:val="32"/>
          <w:szCs w:val="32"/>
        </w:rPr>
      </w:pPr>
    </w:p>
    <w:p w14:paraId="5AECDACD">
      <w:pPr>
        <w:spacing w:line="560" w:lineRule="exact"/>
        <w:ind w:firstLine="160" w:firstLineChars="5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科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规字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〔</w:t>
      </w:r>
      <w:r>
        <w:rPr>
          <w:rFonts w:ascii="Times New Roman" w:hAnsi="Times New Roman" w:eastAsia="仿宋_GB2312"/>
          <w:color w:val="000000"/>
          <w:sz w:val="32"/>
          <w:szCs w:val="32"/>
          <w:lang w:val="en"/>
        </w:rPr>
        <w:t>2024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号</w:t>
      </w:r>
    </w:p>
    <w:p w14:paraId="21B78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ascii="仿宋_GB2312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104140</wp:posOffset>
                </wp:positionV>
                <wp:extent cx="567880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880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5pt;margin-top:8.2pt;height:0pt;width:447.15pt;z-index:251659264;mso-width-relative:page;mso-height-relative:page;" filled="f" stroked="t" coordsize="21600,21600" o:gfxdata="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DWjc&#10;jdUAAAAHAQAADwAAAAAAAAABACAAAAAiAAAAZHJzL2Rvd25yZXYueG1sUEsBAhQAFAAAAAgAh07i&#10;QJczHEPsAQAAuQMAAA4AAAAAAAAAAQAgAAAAJAEAAGRycy9lMm9Eb2MueG1sUEsFBgAAAAAGAAYA&#10;WQEAAII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AF9888B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44"/>
          <w:szCs w:val="44"/>
          <w:lang w:val="en-US" w:eastAsia="zh-CN" w:bidi="ar-SA"/>
        </w:rPr>
        <w:t>自治区科技厅关于印发广西新型研发机构管理办法的通知</w:t>
      </w:r>
    </w:p>
    <w:p w14:paraId="159511C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eastAsia="仿宋_GB2312" w:cs="Times New Roman"/>
          <w:b w:val="0"/>
          <w:kern w:val="2"/>
          <w:sz w:val="32"/>
          <w:szCs w:val="32"/>
          <w:u w:val="none"/>
          <w:lang w:val="en-US" w:eastAsia="zh-CN" w:bidi="ar-SA"/>
        </w:rPr>
      </w:pPr>
    </w:p>
    <w:p w14:paraId="3A26EF34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eastAsia="仿宋_GB2312" w:cs="Times New Roman"/>
          <w:b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eastAsia="仿宋_GB2312" w:cs="Times New Roman"/>
          <w:b w:val="0"/>
          <w:kern w:val="2"/>
          <w:sz w:val="32"/>
          <w:szCs w:val="32"/>
          <w:u w:val="none"/>
          <w:lang w:val="en-US" w:eastAsia="zh-CN" w:bidi="ar-SA"/>
        </w:rPr>
        <w:t>各有关单位：</w:t>
      </w:r>
    </w:p>
    <w:p w14:paraId="2797E0BF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Calibri" w:hAnsi="Calibri" w:eastAsia="仿宋_GB2312" w:cs="Times New Roman"/>
          <w:b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Calibri" w:hAnsi="Calibri" w:eastAsia="仿宋_GB2312" w:cs="Times New Roman"/>
          <w:b w:val="0"/>
          <w:kern w:val="2"/>
          <w:sz w:val="32"/>
          <w:szCs w:val="32"/>
          <w:u w:val="none"/>
          <w:lang w:val="en-US" w:eastAsia="zh-CN" w:bidi="ar-SA"/>
        </w:rPr>
        <w:t>现</w:t>
      </w:r>
      <w:r>
        <w:rPr>
          <w:rFonts w:hint="eastAsia" w:eastAsia="仿宋_GB2312" w:cs="Times New Roman"/>
          <w:b w:val="0"/>
          <w:kern w:val="2"/>
          <w:sz w:val="32"/>
          <w:szCs w:val="32"/>
          <w:u w:val="none"/>
          <w:lang w:val="en-US" w:eastAsia="zh-CN" w:bidi="ar-SA"/>
        </w:rPr>
        <w:t>将</w:t>
      </w:r>
      <w:r>
        <w:rPr>
          <w:rFonts w:hint="eastAsia" w:ascii="Calibri" w:hAnsi="Calibri" w:eastAsia="仿宋_GB2312" w:cs="Times New Roman"/>
          <w:b w:val="0"/>
          <w:kern w:val="2"/>
          <w:sz w:val="32"/>
          <w:szCs w:val="32"/>
          <w:u w:val="none"/>
          <w:lang w:val="en-US" w:eastAsia="zh-CN" w:bidi="ar-SA"/>
        </w:rPr>
        <w:t>《广西新型研发机构管理办法》印发</w:t>
      </w:r>
      <w:r>
        <w:rPr>
          <w:rFonts w:hint="eastAsia" w:eastAsia="仿宋_GB2312" w:cs="Times New Roman"/>
          <w:b w:val="0"/>
          <w:kern w:val="2"/>
          <w:sz w:val="32"/>
          <w:szCs w:val="32"/>
          <w:u w:val="none"/>
          <w:lang w:val="en-US" w:eastAsia="zh-CN" w:bidi="ar-SA"/>
        </w:rPr>
        <w:t>给你们</w:t>
      </w:r>
      <w:r>
        <w:rPr>
          <w:rFonts w:hint="eastAsia" w:ascii="Calibri" w:hAnsi="Calibri" w:eastAsia="仿宋_GB2312" w:cs="Times New Roman"/>
          <w:b w:val="0"/>
          <w:kern w:val="2"/>
          <w:sz w:val="32"/>
          <w:szCs w:val="32"/>
          <w:u w:val="none"/>
          <w:lang w:val="en-US" w:eastAsia="zh-CN" w:bidi="ar-SA"/>
        </w:rPr>
        <w:t>，请遵照执行。</w:t>
      </w:r>
    </w:p>
    <w:p w14:paraId="6EAF653D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Calibri" w:hAnsi="Calibri" w:eastAsia="仿宋_GB2312" w:cs="Times New Roman"/>
          <w:b w:val="0"/>
          <w:kern w:val="2"/>
          <w:sz w:val="32"/>
          <w:szCs w:val="32"/>
          <w:u w:val="none"/>
          <w:lang w:val="en-US" w:eastAsia="zh-CN" w:bidi="ar-SA"/>
        </w:rPr>
      </w:pPr>
    </w:p>
    <w:p w14:paraId="0FE37E2A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Calibri" w:hAnsi="Calibri" w:eastAsia="仿宋_GB2312" w:cs="Times New Roman"/>
          <w:b w:val="0"/>
          <w:kern w:val="2"/>
          <w:sz w:val="32"/>
          <w:szCs w:val="32"/>
          <w:u w:val="none"/>
          <w:lang w:val="en-US" w:eastAsia="zh-CN" w:bidi="ar-SA"/>
        </w:rPr>
      </w:pPr>
    </w:p>
    <w:p w14:paraId="0FD51DE1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default" w:ascii="Calibri" w:hAnsi="Calibri" w:eastAsia="仿宋_GB2312" w:cs="Times New Roman"/>
          <w:b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Calibri" w:hAnsi="Calibri" w:eastAsia="仿宋_GB2312" w:cs="Times New Roman"/>
          <w:b w:val="0"/>
          <w:kern w:val="2"/>
          <w:sz w:val="32"/>
          <w:szCs w:val="32"/>
          <w:u w:val="none"/>
          <w:lang w:val="en-US" w:eastAsia="zh-CN" w:bidi="ar-SA"/>
        </w:rPr>
        <w:t xml:space="preserve">广西壮族自治区科学技术厅  </w:t>
      </w:r>
    </w:p>
    <w:p w14:paraId="3A118C77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 xml:space="preserve">                         2024年1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" w:eastAsia="zh-CN" w:bidi="ar-SA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 xml:space="preserve">月6日      </w:t>
      </w:r>
    </w:p>
    <w:p w14:paraId="74ED0251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Calibri" w:hAnsi="Calibri" w:eastAsia="仿宋_GB2312" w:cs="Times New Roman"/>
          <w:b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Calibri" w:hAnsi="Calibri" w:eastAsia="仿宋_GB2312" w:cs="Times New Roman"/>
          <w:b w:val="0"/>
          <w:kern w:val="2"/>
          <w:sz w:val="32"/>
          <w:szCs w:val="32"/>
          <w:u w:val="none"/>
          <w:lang w:val="en-US" w:eastAsia="zh-CN" w:bidi="ar-SA"/>
        </w:rPr>
        <w:t>（此件公开发布）</w:t>
      </w:r>
    </w:p>
    <w:p w14:paraId="71A77DD6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</w:p>
    <w:p w14:paraId="172CF6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4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</w:pPr>
      <w:r>
        <w:rPr>
          <w:rFonts w:hint="eastAsia" w:eastAsia="方正小标宋_GBK"/>
          <w:color w:val="000000"/>
          <w:sz w:val="44"/>
          <w:szCs w:val="44"/>
          <w:u w:val="none"/>
        </w:rPr>
        <w:t>广西新型研发机构</w:t>
      </w:r>
      <w:r>
        <w:rPr>
          <w:rFonts w:hint="eastAsia" w:eastAsia="方正小标宋_GBK"/>
          <w:color w:val="000000"/>
          <w:sz w:val="44"/>
          <w:szCs w:val="44"/>
          <w:u w:val="none"/>
          <w:lang w:val="en-US" w:eastAsia="zh-CN"/>
        </w:rPr>
        <w:t>管理</w:t>
      </w:r>
      <w:r>
        <w:rPr>
          <w:rFonts w:hint="eastAsia" w:eastAsia="方正小标宋_GBK"/>
          <w:color w:val="000000"/>
          <w:sz w:val="44"/>
          <w:szCs w:val="44"/>
          <w:u w:val="none"/>
        </w:rPr>
        <w:t>办法</w:t>
      </w:r>
    </w:p>
    <w:p w14:paraId="284FD6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40" w:lineRule="exact"/>
        <w:jc w:val="center"/>
        <w:textAlignment w:val="auto"/>
        <w:outlineLvl w:val="2"/>
        <w:rPr>
          <w:rFonts w:hint="eastAsia" w:eastAsia="方正小标宋_GBK"/>
          <w:color w:val="000000"/>
          <w:sz w:val="44"/>
          <w:szCs w:val="44"/>
          <w:u w:val="none"/>
        </w:rPr>
      </w:pPr>
    </w:p>
    <w:p w14:paraId="4D5074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第一章  总则</w:t>
      </w:r>
    </w:p>
    <w:p w14:paraId="24720C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</w:p>
    <w:p w14:paraId="0B633A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 xml:space="preserve">第一条  </w:t>
      </w:r>
      <w:r>
        <w:rPr>
          <w:rFonts w:eastAsia="仿宋_GB2312"/>
          <w:sz w:val="32"/>
          <w:szCs w:val="32"/>
          <w:u w:val="none"/>
        </w:rPr>
        <w:t>为贯彻</w:t>
      </w:r>
      <w:r>
        <w:rPr>
          <w:rFonts w:hint="eastAsia" w:eastAsia="仿宋_GB2312"/>
          <w:sz w:val="32"/>
          <w:szCs w:val="32"/>
          <w:u w:val="none"/>
        </w:rPr>
        <w:t>落实</w:t>
      </w:r>
      <w:r>
        <w:rPr>
          <w:rFonts w:hint="eastAsia" w:eastAsia="仿宋_GB2312"/>
          <w:sz w:val="32"/>
          <w:szCs w:val="32"/>
          <w:u w:val="none"/>
          <w:lang w:eastAsia="zh-CN"/>
        </w:rPr>
        <w:t>《</w:t>
      </w:r>
      <w:r>
        <w:rPr>
          <w:rFonts w:hint="default" w:eastAsia="仿宋_GB2312"/>
          <w:sz w:val="32"/>
          <w:szCs w:val="32"/>
          <w:u w:val="none"/>
          <w:lang w:val="en" w:eastAsia="zh-CN"/>
        </w:rPr>
        <w:t>中华人民共和国科学技术进步法</w:t>
      </w:r>
      <w:r>
        <w:rPr>
          <w:rFonts w:hint="eastAsia" w:eastAsia="仿宋_GB2312"/>
          <w:sz w:val="32"/>
          <w:szCs w:val="32"/>
          <w:u w:val="none"/>
          <w:lang w:eastAsia="zh-CN"/>
        </w:rPr>
        <w:t>》《广西壮族自治区科技创新条例》以及</w:t>
      </w:r>
      <w:r>
        <w:rPr>
          <w:rFonts w:eastAsia="仿宋_GB2312"/>
          <w:sz w:val="32"/>
          <w:szCs w:val="32"/>
          <w:u w:val="none"/>
        </w:rPr>
        <w:t>科</w:t>
      </w:r>
      <w:r>
        <w:rPr>
          <w:rFonts w:hint="eastAsia" w:eastAsia="仿宋_GB2312"/>
          <w:sz w:val="32"/>
          <w:szCs w:val="32"/>
          <w:u w:val="none"/>
        </w:rPr>
        <w:t>技部《关于促进新型研发机构发展的指导意见》（国科发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政〔2019〕313号）</w:t>
      </w:r>
      <w:r>
        <w:rPr>
          <w:rFonts w:hint="eastAsia" w:eastAsia="仿宋_GB2312"/>
          <w:sz w:val="32"/>
          <w:szCs w:val="32"/>
          <w:u w:val="none"/>
        </w:rPr>
        <w:t>等文件精神，进一步引导和规范广西新型研发机构的建设与发展，制定本办法。</w:t>
      </w:r>
    </w:p>
    <w:p w14:paraId="5795D1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trike w:val="0"/>
          <w:dstrike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第二条</w:t>
      </w:r>
      <w:r>
        <w:rPr>
          <w:rFonts w:hint="eastAsia" w:eastAsia="仿宋_GB2312"/>
          <w:sz w:val="32"/>
          <w:szCs w:val="32"/>
          <w:u w:val="none"/>
        </w:rPr>
        <w:t xml:space="preserve">  本办法所称新型研发机构是指聚焦科技创新需求，主要从事科学研究、技术创新</w:t>
      </w:r>
      <w:r>
        <w:rPr>
          <w:rFonts w:hint="eastAsia" w:eastAsia="仿宋_GB2312"/>
          <w:sz w:val="32"/>
          <w:szCs w:val="32"/>
          <w:u w:val="none"/>
          <w:lang w:eastAsia="zh-CN"/>
        </w:rPr>
        <w:t>、</w:t>
      </w:r>
      <w:r>
        <w:rPr>
          <w:rFonts w:hint="eastAsia" w:eastAsia="仿宋_GB2312"/>
          <w:sz w:val="32"/>
          <w:szCs w:val="32"/>
          <w:u w:val="none"/>
        </w:rPr>
        <w:t>研发服务</w:t>
      </w:r>
      <w:r>
        <w:rPr>
          <w:rFonts w:hint="eastAsia" w:eastAsia="仿宋_GB2312"/>
          <w:sz w:val="32"/>
          <w:szCs w:val="32"/>
          <w:u w:val="none"/>
          <w:lang w:eastAsia="zh-CN"/>
        </w:rPr>
        <w:t>、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成果转化</w:t>
      </w:r>
      <w:r>
        <w:rPr>
          <w:rFonts w:hint="eastAsia" w:eastAsia="仿宋_GB2312"/>
          <w:sz w:val="32"/>
          <w:szCs w:val="32"/>
          <w:u w:val="none"/>
        </w:rPr>
        <w:t>，</w:t>
      </w:r>
      <w:r>
        <w:rPr>
          <w:rFonts w:hint="default" w:eastAsia="仿宋_GB2312"/>
          <w:sz w:val="32"/>
          <w:szCs w:val="32"/>
          <w:u w:val="none"/>
          <w:lang w:val="en-US"/>
        </w:rPr>
        <w:t>投资</w:t>
      </w:r>
      <w:r>
        <w:rPr>
          <w:rFonts w:hint="eastAsia" w:eastAsia="仿宋_GB2312"/>
          <w:sz w:val="32"/>
          <w:szCs w:val="32"/>
          <w:u w:val="none"/>
        </w:rPr>
        <w:t>主体多元化、管理制度现代化、运行机制市场化、用人机制灵活的独立法人机构。</w:t>
      </w:r>
      <w:r>
        <w:rPr>
          <w:rFonts w:hint="eastAsia" w:eastAsia="仿宋_GB2312"/>
          <w:strike w:val="0"/>
          <w:dstrike w:val="0"/>
          <w:sz w:val="32"/>
          <w:szCs w:val="32"/>
          <w:u w:val="none"/>
        </w:rPr>
        <w:t>主要功能包括：</w:t>
      </w:r>
    </w:p>
    <w:p w14:paraId="6C01F5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trike w:val="0"/>
          <w:dstrike w:val="0"/>
          <w:sz w:val="32"/>
          <w:szCs w:val="32"/>
          <w:u w:val="none"/>
        </w:rPr>
      </w:pPr>
      <w:r>
        <w:rPr>
          <w:rFonts w:hint="eastAsia" w:eastAsia="仿宋_GB2312"/>
          <w:strike w:val="0"/>
          <w:dstrike w:val="0"/>
          <w:sz w:val="32"/>
          <w:szCs w:val="32"/>
          <w:u w:val="none"/>
        </w:rPr>
        <w:t>（一）开展技术研发。围绕广西产业重点技术领域的前瞻性技术、关键共性技术、支柱产业和战略性新兴产业核心技术等开展科技研发活动，解决产业发展中的技术瓶颈。</w:t>
      </w:r>
    </w:p>
    <w:p w14:paraId="747AC9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（二）转化科技成果。积极贯彻落实国家和广西科技成果转移转化政策，建立符合科技创新规律和市场经济规律的科技成果转移转化体系，开展科技成果转移转化服务，促进科技成果资本化、产业化。</w:t>
      </w:r>
    </w:p>
    <w:p w14:paraId="5BA7F1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（三）孵化培育科技企业。以技术成果为纽带，联合产业基金和社会资本，积极开展科技型企业的孵化和培育，辐射带动一批科技型企业共同发展。</w:t>
      </w:r>
    </w:p>
    <w:p w14:paraId="3F781E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（四）集聚培养高端人才。吸引高端人才和团队在我区创新创业，培养和造就高层次的科学家、科技领军人才和创新创业人才。</w:t>
      </w:r>
    </w:p>
    <w:p w14:paraId="1CB695B6">
      <w:pPr>
        <w:pStyle w:val="11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宋体" w:hAnsi="宋体" w:eastAsia="仿宋_GB2312" w:cs="宋体"/>
          <w:i w:val="0"/>
          <w:caps w:val="0"/>
          <w:color w:val="424242"/>
          <w:spacing w:val="0"/>
          <w:sz w:val="32"/>
          <w:szCs w:val="32"/>
          <w:u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第三条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/>
        </w:rPr>
        <w:t>广西壮族</w:t>
      </w:r>
      <w:r>
        <w:rPr>
          <w:rFonts w:hint="eastAsia" w:eastAsia="仿宋_GB2312"/>
          <w:sz w:val="32"/>
          <w:szCs w:val="32"/>
          <w:u w:val="none"/>
        </w:rPr>
        <w:t>自治区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科学技术厅（以下简称：自治区科技厅）</w:t>
      </w:r>
      <w:r>
        <w:rPr>
          <w:rFonts w:hint="eastAsia" w:eastAsia="仿宋_GB2312"/>
          <w:sz w:val="32"/>
          <w:szCs w:val="32"/>
          <w:u w:val="none"/>
        </w:rPr>
        <w:t>负责研究制定新型研发机构发展规划和政策，组织开展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广西</w:t>
      </w:r>
      <w:r>
        <w:rPr>
          <w:rFonts w:hint="eastAsia" w:eastAsia="仿宋_GB2312"/>
          <w:sz w:val="32"/>
          <w:szCs w:val="32"/>
          <w:u w:val="none"/>
        </w:rPr>
        <w:t>新型研发机构的</w:t>
      </w:r>
      <w:r>
        <w:rPr>
          <w:rFonts w:hint="eastAsia" w:eastAsia="仿宋_GB2312"/>
          <w:strike w:val="0"/>
          <w:dstrike w:val="0"/>
          <w:sz w:val="32"/>
          <w:szCs w:val="32"/>
          <w:u w:val="none"/>
          <w:lang w:eastAsia="zh-CN"/>
        </w:rPr>
        <w:t>申报认定、监督管理与绩效评估等工作</w:t>
      </w:r>
      <w:r>
        <w:rPr>
          <w:rFonts w:hint="eastAsia" w:eastAsia="仿宋_GB2312"/>
          <w:sz w:val="32"/>
          <w:szCs w:val="32"/>
          <w:u w:val="none"/>
        </w:rPr>
        <w:t>，协调解决新型研发机构建设和发展过程中遇到的重大问题。</w:t>
      </w:r>
    </w:p>
    <w:p w14:paraId="1679416C">
      <w:pPr>
        <w:pStyle w:val="11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 xml:space="preserve">第四条 </w:t>
      </w:r>
      <w:r>
        <w:rPr>
          <w:rFonts w:hint="eastAsia" w:eastAsia="仿宋_GB2312"/>
          <w:sz w:val="32"/>
          <w:szCs w:val="32"/>
          <w:u w:val="none"/>
        </w:rPr>
        <w:t xml:space="preserve"> 自治区有关部门按照职责分工，协同落实国家、自治区关于扶持新型研发机构发展的政策措施，积极创造条件，培育和引进新型研发机构。</w:t>
      </w:r>
    </w:p>
    <w:p w14:paraId="6DD5F2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spacing w:val="0"/>
          <w:sz w:val="32"/>
          <w:szCs w:val="32"/>
          <w:u w:val="none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第五条</w:t>
      </w:r>
      <w:r>
        <w:rPr>
          <w:rFonts w:hint="eastAsia" w:eastAsia="仿宋_GB2312"/>
          <w:sz w:val="32"/>
          <w:szCs w:val="32"/>
          <w:u w:val="none"/>
        </w:rPr>
        <w:t xml:space="preserve">  设区市</w:t>
      </w:r>
      <w:r>
        <w:rPr>
          <w:rFonts w:hint="eastAsia" w:eastAsia="仿宋_GB2312"/>
          <w:sz w:val="32"/>
          <w:szCs w:val="32"/>
          <w:u w:val="none"/>
          <w:lang w:eastAsia="zh-CN"/>
        </w:rPr>
        <w:t>科技局</w:t>
      </w:r>
      <w:r>
        <w:rPr>
          <w:rFonts w:hint="eastAsia" w:eastAsia="仿宋_GB2312"/>
          <w:sz w:val="32"/>
          <w:szCs w:val="32"/>
          <w:u w:val="none"/>
        </w:rPr>
        <w:t>负责本地新型研发机构的引进、培育</w:t>
      </w:r>
      <w:r>
        <w:rPr>
          <w:rFonts w:hint="eastAsia" w:eastAsia="仿宋_GB2312"/>
          <w:strike w:val="0"/>
          <w:dstrike w:val="0"/>
          <w:sz w:val="32"/>
          <w:szCs w:val="32"/>
          <w:u w:val="none"/>
        </w:rPr>
        <w:t>组建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工作，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sz w:val="32"/>
          <w:szCs w:val="32"/>
          <w:u w:val="none"/>
          <w:shd w:val="clear" w:color="auto" w:fill="auto"/>
        </w:rPr>
        <w:t>负责对辖区内新型研发机构申报对象进行审核推荐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sz w:val="32"/>
          <w:szCs w:val="32"/>
          <w:u w:val="none"/>
          <w:shd w:val="clear" w:color="auto" w:fill="auto"/>
          <w:lang w:eastAsia="zh-CN"/>
        </w:rPr>
        <w:t>，</w:t>
      </w:r>
      <w:r>
        <w:rPr>
          <w:rFonts w:hint="eastAsia" w:eastAsia="仿宋_GB2312"/>
          <w:sz w:val="32"/>
          <w:szCs w:val="32"/>
          <w:u w:val="none"/>
        </w:rPr>
        <w:t>并采取政策措施支持本地新型研发机构建设运行</w:t>
      </w:r>
      <w:r>
        <w:rPr>
          <w:rFonts w:hint="eastAsia" w:eastAsia="仿宋_GB2312"/>
          <w:sz w:val="32"/>
          <w:szCs w:val="32"/>
          <w:u w:val="none"/>
          <w:lang w:eastAsia="zh-CN"/>
        </w:rPr>
        <w:t>。强化</w:t>
      </w:r>
      <w:r>
        <w:rPr>
          <w:rFonts w:hint="eastAsia" w:eastAsia="仿宋_GB2312"/>
          <w:sz w:val="32"/>
          <w:szCs w:val="32"/>
          <w:u w:val="none"/>
        </w:rPr>
        <w:t>日常管理工作</w:t>
      </w:r>
      <w:r>
        <w:rPr>
          <w:rFonts w:hint="eastAsia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sz w:val="32"/>
          <w:szCs w:val="32"/>
          <w:u w:val="none"/>
          <w:shd w:val="clear" w:color="auto" w:fill="auto"/>
        </w:rPr>
        <w:t>对</w:t>
      </w:r>
      <w:r>
        <w:rPr>
          <w:rFonts w:hint="eastAsia" w:eastAsia="仿宋_GB2312" w:cs="Times New Roman"/>
          <w:i w:val="0"/>
          <w:caps w:val="0"/>
          <w:spacing w:val="0"/>
          <w:sz w:val="32"/>
          <w:szCs w:val="32"/>
          <w:u w:val="none"/>
          <w:shd w:val="clear" w:color="auto" w:fill="auto"/>
          <w:lang w:val="en-US" w:eastAsia="zh-CN"/>
        </w:rPr>
        <w:t>本地新型研发机构的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sz w:val="32"/>
          <w:szCs w:val="32"/>
          <w:u w:val="none"/>
          <w:shd w:val="clear" w:color="auto" w:fill="auto"/>
        </w:rPr>
        <w:t>运营情况进行监督检查</w:t>
      </w:r>
      <w:r>
        <w:rPr>
          <w:rFonts w:hint="eastAsia" w:eastAsia="仿宋_GB2312" w:cs="Times New Roman"/>
          <w:i w:val="0"/>
          <w:caps w:val="0"/>
          <w:spacing w:val="0"/>
          <w:sz w:val="32"/>
          <w:szCs w:val="32"/>
          <w:u w:val="none"/>
          <w:shd w:val="clear" w:color="auto" w:fill="auto"/>
          <w:lang w:eastAsia="zh-CN"/>
        </w:rPr>
        <w:t>。</w:t>
      </w:r>
    </w:p>
    <w:p w14:paraId="1DEC60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第六条</w:t>
      </w:r>
      <w:r>
        <w:rPr>
          <w:rFonts w:hint="eastAsia" w:eastAsia="仿宋_GB2312"/>
          <w:sz w:val="32"/>
          <w:szCs w:val="32"/>
          <w:u w:val="none"/>
        </w:rPr>
        <w:t xml:space="preserve">  坚持“谁举办、谁负责，谁设立、谁撤销”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的原则</w:t>
      </w:r>
      <w:r>
        <w:rPr>
          <w:rFonts w:hint="eastAsia" w:eastAsia="仿宋_GB2312"/>
          <w:sz w:val="32"/>
          <w:szCs w:val="32"/>
          <w:u w:val="none"/>
          <w:lang w:eastAsia="zh-CN"/>
        </w:rPr>
        <w:t>举办</w:t>
      </w:r>
      <w:r>
        <w:rPr>
          <w:rFonts w:hint="eastAsia" w:eastAsia="仿宋_GB2312"/>
          <w:sz w:val="32"/>
          <w:szCs w:val="32"/>
          <w:u w:val="none"/>
        </w:rPr>
        <w:t>新型研发机构。举办单位（业务主管单位、出资人）应当为新型研发机构建设运行、研发创新提供保障，引导新型研发机构聚焦科学研究、技术创新和研发服务，避免功能定位泛化。</w:t>
      </w:r>
    </w:p>
    <w:p w14:paraId="46008A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u w:val="none"/>
        </w:rPr>
      </w:pPr>
    </w:p>
    <w:p w14:paraId="6464E4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第二章  申报认定</w:t>
      </w:r>
    </w:p>
    <w:p w14:paraId="600BB2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</w:p>
    <w:p w14:paraId="5C95F7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  <w:u w:val="none"/>
        </w:rPr>
        <w:t>条</w:t>
      </w:r>
      <w:r>
        <w:rPr>
          <w:rFonts w:hint="eastAsia" w:eastAsia="仿宋_GB2312"/>
          <w:sz w:val="32"/>
          <w:szCs w:val="32"/>
          <w:u w:val="none"/>
        </w:rPr>
        <w:t xml:space="preserve">  申请认定为广西新型研发机构应当符合以下条件：</w:t>
      </w:r>
    </w:p>
    <w:p w14:paraId="4E3448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strike w:val="0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（一）具备独立法人资格</w:t>
      </w:r>
      <w:r>
        <w:rPr>
          <w:rFonts w:hint="eastAsia" w:eastAsia="仿宋_GB2312"/>
          <w:strike w:val="0"/>
          <w:dstrike w:val="0"/>
          <w:sz w:val="32"/>
          <w:szCs w:val="32"/>
          <w:u w:val="none"/>
        </w:rPr>
        <w:t>，内控制度健全完善。</w:t>
      </w:r>
      <w:r>
        <w:rPr>
          <w:rFonts w:hint="eastAsia" w:eastAsia="仿宋_GB2312"/>
          <w:sz w:val="32"/>
          <w:szCs w:val="32"/>
          <w:u w:val="none"/>
        </w:rPr>
        <w:t>注册为独立法人的企事业单位、社会组织或机构，其主要办公和研发场所设在广西，且注册后运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营1年以上</w:t>
      </w:r>
      <w:r>
        <w:rPr>
          <w:rFonts w:hint="default" w:ascii="Times New Roman" w:hAnsi="Times New Roman" w:eastAsia="仿宋_GB2312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/>
          <w:strike w:val="0"/>
          <w:dstrike w:val="0"/>
          <w:sz w:val="32"/>
          <w:szCs w:val="32"/>
          <w:u w:val="none"/>
        </w:rPr>
        <w:t>建立科学化的研发组织体系和内控制度，</w:t>
      </w:r>
      <w:r>
        <w:rPr>
          <w:rFonts w:hint="default" w:ascii="Times New Roman" w:hAnsi="Times New Roman" w:eastAsia="仿宋_GB2312"/>
          <w:strike w:val="0"/>
          <w:dstrike w:val="0"/>
          <w:sz w:val="32"/>
          <w:szCs w:val="32"/>
          <w:u w:val="none"/>
          <w:lang w:eastAsia="zh-CN"/>
        </w:rPr>
        <w:t>健全</w:t>
      </w:r>
      <w:r>
        <w:rPr>
          <w:rFonts w:hint="default" w:ascii="Times New Roman" w:hAnsi="Times New Roman" w:eastAsia="仿宋_GB2312"/>
          <w:strike w:val="0"/>
          <w:dstrike w:val="0"/>
          <w:sz w:val="32"/>
          <w:szCs w:val="32"/>
          <w:u w:val="none"/>
        </w:rPr>
        <w:t>科研诚信和科研伦理</w:t>
      </w:r>
      <w:r>
        <w:rPr>
          <w:rFonts w:hint="default" w:ascii="Times New Roman" w:hAnsi="Times New Roman" w:eastAsia="仿宋_GB2312"/>
          <w:strike w:val="0"/>
          <w:dstrike w:val="0"/>
          <w:sz w:val="32"/>
          <w:szCs w:val="32"/>
          <w:u w:val="none"/>
          <w:lang w:eastAsia="zh-CN"/>
        </w:rPr>
        <w:t>制度</w:t>
      </w:r>
      <w:r>
        <w:rPr>
          <w:rFonts w:hint="default" w:ascii="Times New Roman" w:hAnsi="Times New Roman" w:eastAsia="仿宋_GB2312"/>
          <w:strike w:val="0"/>
          <w:sz w:val="32"/>
          <w:szCs w:val="32"/>
          <w:u w:val="none"/>
        </w:rPr>
        <w:t>。</w:t>
      </w:r>
    </w:p>
    <w:p w14:paraId="5F29F6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sz w:val="32"/>
          <w:szCs w:val="32"/>
          <w:u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具有以下研发条件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：</w:t>
      </w:r>
    </w:p>
    <w:p w14:paraId="770405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收入总额100万元（含100万元）及以下的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申报单位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上年度研究开发经费支出占年收入总额比例不低于30%，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收入总额100万元至1000万元（含1000万元）的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申报单位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上年度研究开发经费支出占年收入总额比例不低于20%且不低于30万元，在职研发人员占在职员工总数比例不低于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40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%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；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 xml:space="preserve"> </w:t>
      </w:r>
    </w:p>
    <w:p w14:paraId="305DC7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收入总额1000万元至1亿元（含1亿元）的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申报单位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上年度研究开发经费支出占年收入总额比例不低于10%且不低于200万元，在职研发人员占在职员工总数比例不低于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30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%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；</w:t>
      </w:r>
    </w:p>
    <w:p w14:paraId="0431F2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收入总额1亿元至10亿元（含10亿元）的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申报单位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上年度研究开发经费支出占年收入总额比例不低于5%且不低于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1000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万元，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收入总额10亿元以上的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申报单位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上年度研究开发经费支出占年收入总额比例不低于3%且不低于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000万元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在职研发人员占在职员工总数比例不低于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20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%；</w:t>
      </w:r>
    </w:p>
    <w:p w14:paraId="1458EE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u w:val="none"/>
        </w:rPr>
      </w:pPr>
      <w:r>
        <w:rPr>
          <w:rFonts w:hint="default" w:ascii="Times New Roman" w:hAnsi="Times New Roman" w:eastAsia="仿宋_GB2312"/>
          <w:sz w:val="32"/>
          <w:szCs w:val="32"/>
          <w:u w:val="none"/>
        </w:rPr>
        <w:t>每年成果转化至少1项以上；</w:t>
      </w:r>
    </w:p>
    <w:p w14:paraId="13BF8B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具备开展研究、开发和试验以及成果转化所需的科研仪器、设备和固定场所。</w:t>
      </w:r>
    </w:p>
    <w:p w14:paraId="7B8850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sz w:val="32"/>
          <w:szCs w:val="32"/>
          <w:u w:val="none"/>
          <w:lang w:eastAsia="zh-CN"/>
        </w:rPr>
        <w:t>（三）</w:t>
      </w:r>
      <w:r>
        <w:rPr>
          <w:rFonts w:hint="eastAsia" w:eastAsia="仿宋_GB2312"/>
          <w:sz w:val="32"/>
          <w:szCs w:val="32"/>
          <w:u w:val="none"/>
        </w:rPr>
        <w:t>实行灵活开放的体制机制。具有现代化的管理体制，拥有明确的人事、薪酬、行政和经费等内部管理制度；实行市场化决策及成果转化机制等高效的运行机制；建立市场化的薪酬机制、企业化的收益分配机制、开放型的引人和用人机制等。</w:t>
      </w:r>
    </w:p>
    <w:p w14:paraId="1B0AFF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sz w:val="32"/>
          <w:szCs w:val="32"/>
          <w:u w:val="none"/>
          <w:lang w:eastAsia="zh-CN"/>
        </w:rPr>
        <w:t>（四）</w:t>
      </w:r>
      <w:r>
        <w:rPr>
          <w:rFonts w:hint="eastAsia" w:eastAsia="仿宋_GB2312"/>
          <w:sz w:val="32"/>
          <w:szCs w:val="32"/>
          <w:u w:val="none"/>
        </w:rPr>
        <w:t>拥有明确的业务发展方向。符合广西重点产业技术创新需求，</w:t>
      </w:r>
      <w:r>
        <w:rPr>
          <w:rFonts w:hint="eastAsia" w:eastAsia="仿宋_GB2312"/>
          <w:sz w:val="32"/>
          <w:szCs w:val="32"/>
          <w:highlight w:val="none"/>
          <w:u w:val="none"/>
        </w:rPr>
        <w:t>聚焦广西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现代化产业体系建设</w:t>
      </w:r>
      <w:r>
        <w:rPr>
          <w:rFonts w:hint="eastAsia" w:eastAsia="仿宋_GB2312"/>
          <w:sz w:val="32"/>
          <w:szCs w:val="32"/>
          <w:highlight w:val="none"/>
          <w:u w:val="none"/>
        </w:rPr>
        <w:t>，</w:t>
      </w:r>
      <w:r>
        <w:rPr>
          <w:rFonts w:hint="eastAsia" w:eastAsia="仿宋_GB2312"/>
          <w:strike w:val="0"/>
          <w:dstrike w:val="0"/>
          <w:sz w:val="32"/>
          <w:szCs w:val="32"/>
          <w:u w:val="none"/>
        </w:rPr>
        <w:t>具有明确的研发方向和目标定位，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开展基础研究、应用基础研究、前沿技术研究、工程技术开发、产业共性关键技术研发、科技成果转移转化以及研发服务等</w:t>
      </w:r>
      <w:r>
        <w:rPr>
          <w:rFonts w:hint="eastAsia" w:eastAsia="仿宋_GB2312"/>
          <w:sz w:val="32"/>
          <w:szCs w:val="32"/>
          <w:u w:val="none"/>
        </w:rPr>
        <w:t>。</w:t>
      </w:r>
    </w:p>
    <w:p w14:paraId="665119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trike w:val="0"/>
          <w:dstrike w:val="0"/>
          <w:sz w:val="32"/>
          <w:szCs w:val="32"/>
          <w:u w:val="none"/>
        </w:rPr>
      </w:pPr>
      <w:r>
        <w:rPr>
          <w:rFonts w:hint="eastAsia" w:ascii="Calibri" w:hAnsi="Calibri" w:eastAsia="仿宋_GB2312" w:cs="Times New Roman"/>
          <w:b w:val="0"/>
          <w:bCs w:val="0"/>
          <w:strike w:val="0"/>
          <w:dstrike w:val="0"/>
          <w:sz w:val="32"/>
          <w:szCs w:val="32"/>
          <w:u w:val="none"/>
        </w:rPr>
        <w:t>（</w:t>
      </w:r>
      <w:r>
        <w:rPr>
          <w:rFonts w:hint="eastAsia" w:ascii="Calibri" w:hAnsi="Calibri" w:eastAsia="仿宋_GB2312" w:cs="Times New Roman"/>
          <w:b w:val="0"/>
          <w:bCs w:val="0"/>
          <w:strike w:val="0"/>
          <w:dstrike w:val="0"/>
          <w:sz w:val="32"/>
          <w:szCs w:val="32"/>
          <w:u w:val="none"/>
          <w:lang w:eastAsia="zh-CN"/>
        </w:rPr>
        <w:t>五</w:t>
      </w:r>
      <w:r>
        <w:rPr>
          <w:rFonts w:hint="eastAsia" w:ascii="Calibri" w:hAnsi="Calibri" w:eastAsia="仿宋_GB2312" w:cs="Times New Roman"/>
          <w:b w:val="0"/>
          <w:bCs w:val="0"/>
          <w:strike w:val="0"/>
          <w:dstrike w:val="0"/>
          <w:sz w:val="32"/>
          <w:szCs w:val="32"/>
          <w:u w:val="none"/>
        </w:rPr>
        <w:t>）没有违法、违规行为。</w:t>
      </w:r>
      <w:r>
        <w:rPr>
          <w:rFonts w:hint="eastAsia" w:eastAsia="仿宋_GB2312"/>
          <w:strike w:val="0"/>
          <w:dstrike w:val="0"/>
          <w:sz w:val="32"/>
          <w:szCs w:val="32"/>
          <w:u w:val="none"/>
        </w:rPr>
        <w:t>发起单位及其法定代表人近三年没有因违法、违规行为受到有关部门的处理处罚。</w:t>
      </w:r>
    </w:p>
    <w:p w14:paraId="482AFF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  <w:u w:val="none"/>
        </w:rPr>
        <w:t>条</w:t>
      </w:r>
      <w:r>
        <w:rPr>
          <w:rFonts w:hint="eastAsia" w:eastAsia="仿宋_GB2312"/>
          <w:sz w:val="32"/>
          <w:szCs w:val="32"/>
          <w:u w:val="none"/>
        </w:rPr>
        <w:t xml:space="preserve">  多元投资设立的新型研发机构，原则上应实行理事会、董事会（以下简称“理事会”）决策制和院长、所长、总经理（以下简称“院所长”）负责制，投管分离，独立运作，根据法律法规和出资方协议制定章程，依照章程管理运行。</w:t>
      </w:r>
    </w:p>
    <w:p w14:paraId="368114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（一）章程应明确理事会的职责、组成、产生机制，理事长和理事的产生、任职资格，主要经费来源和业务范围，主营业务收益管理以及政府支持的资源类收益分配机制等。</w:t>
      </w:r>
    </w:p>
    <w:p w14:paraId="2355B1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（二）理事会成员原则上应包括出资方、产业界、行业领域专家以及本机构代表等。理事会负责选定院所长，制定修改章程、审定发展规划、年度工作计划、财务预决算、薪酬分配等重大事项。</w:t>
      </w:r>
    </w:p>
    <w:p w14:paraId="66E55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（三）法定代表人一般由院所长担任。院所长全面负责科研业务和日常管理工作，推动内控管理和监督，执行理事会决议，对理事会负责。</w:t>
      </w:r>
    </w:p>
    <w:p w14:paraId="21CCD7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（四）建立咨询委员会，就</w:t>
      </w:r>
      <w:r>
        <w:rPr>
          <w:rFonts w:hint="eastAsia" w:eastAsia="仿宋_GB2312"/>
          <w:sz w:val="32"/>
          <w:szCs w:val="32"/>
          <w:u w:val="none"/>
          <w:lang w:eastAsia="zh-CN"/>
        </w:rPr>
        <w:t>新型研发</w:t>
      </w:r>
      <w:r>
        <w:rPr>
          <w:rFonts w:hint="eastAsia" w:eastAsia="仿宋_GB2312"/>
          <w:sz w:val="32"/>
          <w:szCs w:val="32"/>
          <w:u w:val="none"/>
        </w:rPr>
        <w:t>机构发展战略、重大科学技术问题、科研诚信和科研伦理等开展咨询。</w:t>
      </w:r>
    </w:p>
    <w:p w14:paraId="4DAAD6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九</w:t>
      </w:r>
      <w:r>
        <w:rPr>
          <w:rFonts w:hint="eastAsia" w:ascii="黑体" w:hAnsi="黑体" w:eastAsia="黑体" w:cs="黑体"/>
          <w:sz w:val="32"/>
          <w:szCs w:val="32"/>
          <w:u w:val="none"/>
        </w:rPr>
        <w:t>条</w:t>
      </w:r>
      <w:r>
        <w:rPr>
          <w:rFonts w:hint="eastAsia" w:eastAsia="仿宋_GB2312"/>
          <w:sz w:val="32"/>
          <w:szCs w:val="32"/>
          <w:u w:val="none"/>
        </w:rPr>
        <w:t xml:space="preserve">  申报广西新型研发机构应提交以下材料：</w:t>
      </w:r>
    </w:p>
    <w:p w14:paraId="09BA35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（一）广西新型研发机构申报表；</w:t>
      </w:r>
    </w:p>
    <w:p w14:paraId="48F17F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（二）统一社会信用代码、营业执照或者事业单位（社会团体）登记证等有效证件复印件；</w:t>
      </w:r>
    </w:p>
    <w:p w14:paraId="7FD130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（三）研发人员（含在申报单位累计实际工作时间在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183天以上的兼职科研人员）和管理人员的姓名、年龄、学历、专业、职称、工作岗位等信息清单；</w:t>
      </w:r>
    </w:p>
    <w:p w14:paraId="3493CB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default" w:ascii="Times New Roman" w:hAnsi="Times New Roman" w:eastAsia="仿宋_GB2312"/>
          <w:sz w:val="32"/>
          <w:szCs w:val="32"/>
          <w:u w:val="none"/>
        </w:rPr>
        <w:t>（四）单价10万元（含）以上的科研仪器设备，单价1万元（含）以上的基础软件、系统软件清单（包括设备名称、数量、原值总价、购置</w:t>
      </w:r>
      <w:r>
        <w:rPr>
          <w:rFonts w:hint="eastAsia" w:eastAsia="仿宋_GB2312"/>
          <w:sz w:val="32"/>
          <w:szCs w:val="32"/>
          <w:u w:val="none"/>
        </w:rPr>
        <w:t>年份等信息）；</w:t>
      </w:r>
    </w:p>
    <w:p w14:paraId="27454B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（五）机构章程和管理制度（包括人才引培、薪酬激励、成果转化、科研项目管理、研发经费核算等）；</w:t>
      </w:r>
    </w:p>
    <w:p w14:paraId="21CC0A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（六）经具有资质的中介机构出具的上年度</w:t>
      </w:r>
      <w:r>
        <w:rPr>
          <w:rFonts w:hint="default" w:eastAsia="仿宋_GB2312"/>
          <w:sz w:val="32"/>
          <w:szCs w:val="32"/>
          <w:u w:val="none"/>
          <w:lang w:val="en"/>
        </w:rPr>
        <w:t>财务审计报告</w:t>
      </w:r>
      <w:r>
        <w:rPr>
          <w:rFonts w:hint="eastAsia" w:eastAsia="仿宋_GB2312"/>
          <w:sz w:val="32"/>
          <w:szCs w:val="32"/>
          <w:u w:val="none"/>
        </w:rPr>
        <w:t>及上年度研究开发费用专项审计报告并附研究开发活动说明材料；</w:t>
      </w:r>
    </w:p>
    <w:p w14:paraId="32AD25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（七）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近</w:t>
      </w:r>
      <w:r>
        <w:rPr>
          <w:rFonts w:ascii="Times New Roman" w:hAnsi="Times New Roman" w:eastAsia="仿宋_GB2312"/>
          <w:sz w:val="32"/>
          <w:szCs w:val="32"/>
          <w:u w:val="none"/>
        </w:rPr>
        <w:t>1年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承担的政府和企业科技计划项目、自主立项研发项目、合作及委托研发项目清单（包括项目名称、项目下达部门、编号、合作或委托单位、金额、起止时间）、立项材料或项目合同复印件；</w:t>
      </w:r>
    </w:p>
    <w:p w14:paraId="0084A2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hint="default" w:ascii="Times New Roman" w:hAnsi="Times New Roman" w:eastAsia="仿宋_GB2312"/>
          <w:sz w:val="32"/>
          <w:szCs w:val="32"/>
          <w:u w:val="none"/>
        </w:rPr>
        <w:t>（八）近</w:t>
      </w:r>
      <w:r>
        <w:rPr>
          <w:rFonts w:ascii="Times New Roman" w:hAnsi="Times New Roman" w:eastAsia="仿宋_GB2312"/>
          <w:sz w:val="32"/>
          <w:szCs w:val="32"/>
          <w:u w:val="none"/>
        </w:rPr>
        <w:t>1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年科技成果产出和转化清单（包括成果名称、成果登记编号及时间、成果形式、转化方式、转化收入及技术交易合同等相关材料）；</w:t>
      </w:r>
    </w:p>
    <w:p w14:paraId="430D99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/>
          <w:sz w:val="32"/>
          <w:szCs w:val="32"/>
          <w:u w:val="none"/>
        </w:rPr>
        <w:t>（九）近</w:t>
      </w:r>
      <w:r>
        <w:rPr>
          <w:rFonts w:ascii="Times New Roman" w:hAnsi="Times New Roman" w:eastAsia="仿宋_GB2312"/>
          <w:sz w:val="32"/>
          <w:szCs w:val="32"/>
          <w:u w:val="none"/>
        </w:rPr>
        <w:t>1</w:t>
      </w:r>
      <w:r>
        <w:rPr>
          <w:rFonts w:hint="eastAsia" w:eastAsia="仿宋_GB2312"/>
          <w:sz w:val="32"/>
          <w:szCs w:val="32"/>
          <w:u w:val="none"/>
        </w:rPr>
        <w:t>年创业与孵化育成企业清单（包括服务、创办、孵化企业，设立产业投资基金，开展产学研协同创新等材料）</w:t>
      </w:r>
      <w:r>
        <w:rPr>
          <w:rFonts w:hint="eastAsia" w:eastAsia="仿宋_GB2312"/>
          <w:sz w:val="32"/>
          <w:szCs w:val="32"/>
          <w:u w:val="none"/>
          <w:lang w:eastAsia="zh-CN"/>
        </w:rPr>
        <w:t>；</w:t>
      </w:r>
    </w:p>
    <w:p w14:paraId="7ECC4C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  <w:lang w:eastAsia="zh-CN"/>
        </w:rPr>
        <w:t>（十）诚信承诺书；</w:t>
      </w:r>
    </w:p>
    <w:p w14:paraId="597271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（十</w:t>
      </w:r>
      <w:r>
        <w:rPr>
          <w:rFonts w:hint="eastAsia" w:eastAsia="仿宋_GB2312"/>
          <w:sz w:val="32"/>
          <w:szCs w:val="32"/>
          <w:u w:val="none"/>
          <w:lang w:eastAsia="zh-CN"/>
        </w:rPr>
        <w:t>一</w:t>
      </w:r>
      <w:r>
        <w:rPr>
          <w:rFonts w:hint="eastAsia" w:eastAsia="仿宋_GB2312"/>
          <w:sz w:val="32"/>
          <w:szCs w:val="32"/>
          <w:u w:val="none"/>
        </w:rPr>
        <w:t>）其他相关证明材料。</w:t>
      </w:r>
    </w:p>
    <w:p w14:paraId="18E868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 xml:space="preserve">第十条  </w:t>
      </w:r>
      <w:r>
        <w:rPr>
          <w:rFonts w:hint="eastAsia" w:eastAsia="仿宋_GB2312"/>
          <w:sz w:val="32"/>
          <w:szCs w:val="32"/>
          <w:u w:val="none"/>
        </w:rPr>
        <w:t>广西新型研发机构申报认定程序：</w:t>
      </w:r>
    </w:p>
    <w:p w14:paraId="325240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</w:rPr>
        <w:t>（一）发布通知。</w:t>
      </w:r>
      <w:r>
        <w:rPr>
          <w:rFonts w:hint="eastAsia" w:eastAsia="仿宋_GB2312"/>
          <w:sz w:val="32"/>
          <w:szCs w:val="32"/>
          <w:u w:val="none"/>
        </w:rPr>
        <w:t>自治区</w:t>
      </w:r>
      <w:r>
        <w:rPr>
          <w:rFonts w:hint="eastAsia" w:eastAsia="仿宋_GB2312"/>
          <w:sz w:val="32"/>
          <w:szCs w:val="32"/>
          <w:u w:val="none"/>
          <w:lang w:eastAsia="zh-CN"/>
        </w:rPr>
        <w:t>科技厅</w:t>
      </w:r>
      <w:r>
        <w:rPr>
          <w:rFonts w:hint="eastAsia" w:eastAsia="仿宋_GB2312"/>
          <w:sz w:val="32"/>
          <w:szCs w:val="32"/>
          <w:u w:val="none"/>
        </w:rPr>
        <w:t>发布申报广西新型研发机构的通知。</w:t>
      </w:r>
    </w:p>
    <w:p w14:paraId="64D7831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eastAsia="zh-CN"/>
        </w:rPr>
        <w:t>单位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</w:rPr>
        <w:t>申报。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符合申报条件的单位登录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广西科技管理信息平台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，在规定时间内完成申报表填报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、上传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有关证明材料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并提交纸质申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报材料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至所在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地设区市科技局或自治区相关部门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。</w:t>
      </w:r>
    </w:p>
    <w:p w14:paraId="14428D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</w:rPr>
        <w:t>审核推荐。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设区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科技局或自治区相关部门为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推荐单位，对申报单位的申报材料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真实性、规范性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完整性进行审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核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，并对符合要求的申报单位提出推荐意见，与申报材料一并提交至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自治区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科技厅。</w:t>
      </w:r>
    </w:p>
    <w:p w14:paraId="644B8D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trike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strike w:val="0"/>
          <w:dstrike w:val="0"/>
          <w:sz w:val="32"/>
          <w:szCs w:val="32"/>
          <w:u w:val="none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u w:val="none"/>
          <w:lang w:val="en-US" w:eastAsia="zh-CN" w:bidi="ar-SA"/>
        </w:rPr>
        <w:t>初步</w:t>
      </w:r>
      <w:r>
        <w:rPr>
          <w:rFonts w:hint="eastAsia" w:ascii="楷体_GB2312" w:hAnsi="楷体_GB2312" w:eastAsia="楷体_GB2312" w:cs="楷体_GB2312"/>
          <w:b/>
          <w:bCs/>
          <w:strike w:val="0"/>
          <w:dstrike w:val="0"/>
          <w:sz w:val="32"/>
          <w:szCs w:val="32"/>
          <w:u w:val="none"/>
        </w:rPr>
        <w:t>审查。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自治区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科技厅组织项目管理专业机构对申报材料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形式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审查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sz w:val="32"/>
          <w:szCs w:val="32"/>
          <w:u w:val="none"/>
        </w:rPr>
        <w:t>符合要求的进入评审论证环节。</w:t>
      </w:r>
    </w:p>
    <w:p w14:paraId="54BEDFCD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u w:val="none"/>
          <w:lang w:val="en-US" w:eastAsia="zh-CN" w:bidi="ar-SA"/>
        </w:rPr>
        <w:t>（五）认定评审。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认定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评审包括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函评、会议评审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等多种形式。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自治区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科技厅按照有关规定，提出评审标准和要求，组织专家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或项目管理专业机构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进行评审，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提出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综合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评审意见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。</w:t>
      </w:r>
    </w:p>
    <w:p w14:paraId="262600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eastAsia="zh-CN"/>
        </w:rPr>
        <w:t>六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</w:rPr>
        <w:t>）结果公示。</w:t>
      </w:r>
      <w:r>
        <w:rPr>
          <w:rFonts w:hint="eastAsia" w:eastAsia="仿宋_GB2312"/>
          <w:sz w:val="32"/>
          <w:szCs w:val="32"/>
          <w:u w:val="none"/>
        </w:rPr>
        <w:t>自治区</w:t>
      </w:r>
      <w:r>
        <w:rPr>
          <w:rFonts w:hint="eastAsia" w:eastAsia="仿宋_GB2312"/>
          <w:sz w:val="32"/>
          <w:szCs w:val="32"/>
          <w:u w:val="none"/>
          <w:lang w:eastAsia="zh-CN"/>
        </w:rPr>
        <w:t>科技厅参考</w:t>
      </w:r>
      <w:r>
        <w:rPr>
          <w:rFonts w:hint="eastAsia" w:eastAsia="仿宋_GB2312"/>
          <w:sz w:val="32"/>
          <w:szCs w:val="32"/>
          <w:u w:val="none"/>
        </w:rPr>
        <w:t>专家</w:t>
      </w:r>
      <w:r>
        <w:rPr>
          <w:rFonts w:hint="eastAsia" w:eastAsia="仿宋_GB2312"/>
          <w:sz w:val="32"/>
          <w:szCs w:val="32"/>
          <w:u w:val="none"/>
          <w:lang w:eastAsia="zh-CN"/>
        </w:rPr>
        <w:t>或项目管理专业机构</w:t>
      </w:r>
      <w:r>
        <w:rPr>
          <w:rFonts w:hint="eastAsia" w:eastAsia="仿宋_GB2312"/>
          <w:sz w:val="32"/>
          <w:szCs w:val="32"/>
          <w:u w:val="none"/>
        </w:rPr>
        <w:t>评审意见，结合自治区党委、政府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重大战略需求、</w:t>
      </w:r>
      <w:r>
        <w:rPr>
          <w:rFonts w:hint="eastAsia" w:eastAsia="仿宋_GB2312"/>
          <w:sz w:val="32"/>
          <w:szCs w:val="32"/>
          <w:u w:val="none"/>
        </w:rPr>
        <w:t>重点规划及广西产业发展需要</w:t>
      </w:r>
      <w:r>
        <w:rPr>
          <w:rFonts w:hint="eastAsia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统筹考虑广西新型研发机构布局、依托单位诚信情况等，</w:t>
      </w:r>
      <w:r>
        <w:rPr>
          <w:rFonts w:hint="eastAsia" w:eastAsia="仿宋_GB2312"/>
          <w:sz w:val="32"/>
          <w:szCs w:val="32"/>
          <w:u w:val="none"/>
        </w:rPr>
        <w:t>提出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拟认定名单</w:t>
      </w:r>
      <w:r>
        <w:rPr>
          <w:rFonts w:hint="eastAsia" w:eastAsia="仿宋_GB2312"/>
          <w:sz w:val="32"/>
          <w:szCs w:val="32"/>
          <w:u w:val="none"/>
        </w:rPr>
        <w:t>，向社会公示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5个</w:t>
      </w:r>
      <w:r>
        <w:rPr>
          <w:rFonts w:hint="eastAsia" w:eastAsia="仿宋_GB2312"/>
          <w:sz w:val="32"/>
          <w:szCs w:val="32"/>
          <w:u w:val="none"/>
        </w:rPr>
        <w:t>工作日。社会各界对公示有异议的须以书面形式提出，</w:t>
      </w:r>
      <w:r>
        <w:rPr>
          <w:rFonts w:hint="eastAsia" w:eastAsia="仿宋_GB2312"/>
          <w:sz w:val="32"/>
          <w:szCs w:val="32"/>
          <w:highlight w:val="none"/>
          <w:u w:val="none"/>
        </w:rPr>
        <w:t>自治区科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技厅</w:t>
      </w:r>
      <w:r>
        <w:rPr>
          <w:rFonts w:hint="eastAsia" w:eastAsia="仿宋_GB2312"/>
          <w:sz w:val="32"/>
          <w:szCs w:val="32"/>
          <w:u w:val="none"/>
        </w:rPr>
        <w:t>对异议信息进行核查和处理。</w:t>
      </w:r>
    </w:p>
    <w:p w14:paraId="2D4C8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eastAsia="zh-CN"/>
        </w:rPr>
        <w:t>七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</w:rPr>
        <w:t>）结果公布。</w:t>
      </w:r>
      <w:r>
        <w:rPr>
          <w:rFonts w:hint="eastAsia" w:eastAsia="仿宋_GB2312"/>
          <w:sz w:val="32"/>
          <w:szCs w:val="32"/>
          <w:u w:val="none"/>
        </w:rPr>
        <w:t>对公示无异议</w:t>
      </w:r>
      <w:r>
        <w:rPr>
          <w:rFonts w:hint="eastAsia" w:eastAsia="仿宋_GB2312"/>
          <w:sz w:val="32"/>
          <w:szCs w:val="32"/>
          <w:u w:val="none"/>
          <w:lang w:eastAsia="zh-CN"/>
        </w:rPr>
        <w:t>或异议不成立</w:t>
      </w:r>
      <w:r>
        <w:rPr>
          <w:rFonts w:hint="eastAsia" w:eastAsia="仿宋_GB2312"/>
          <w:sz w:val="32"/>
          <w:szCs w:val="32"/>
          <w:u w:val="none"/>
        </w:rPr>
        <w:t>的申报单位，</w:t>
      </w:r>
      <w:r>
        <w:rPr>
          <w:rFonts w:hint="eastAsia" w:eastAsia="仿宋_GB2312"/>
          <w:sz w:val="32"/>
          <w:szCs w:val="32"/>
          <w:u w:val="none"/>
          <w:lang w:eastAsia="zh-CN"/>
        </w:rPr>
        <w:t>自治区科技厅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 w:bidi="ar-SA"/>
        </w:rPr>
        <w:t>以正式通知形式对外发布并制作颁发统一的牌匾。</w:t>
      </w:r>
    </w:p>
    <w:p w14:paraId="61BE3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</w:rPr>
        <w:t>第十</w:t>
      </w: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highlight w:val="none"/>
          <w:u w:val="none"/>
        </w:rPr>
        <w:t>条</w:t>
      </w:r>
      <w:r>
        <w:rPr>
          <w:rFonts w:hint="eastAsia" w:eastAsia="仿宋_GB2312"/>
          <w:sz w:val="32"/>
          <w:szCs w:val="32"/>
          <w:highlight w:val="none"/>
          <w:u w:val="none"/>
        </w:rPr>
        <w:t xml:space="preserve">  对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下列</w:t>
      </w:r>
      <w:r>
        <w:rPr>
          <w:rFonts w:hint="eastAsia" w:eastAsia="仿宋_GB2312"/>
          <w:sz w:val="32"/>
          <w:szCs w:val="32"/>
          <w:highlight w:val="none"/>
          <w:u w:val="none"/>
        </w:rPr>
        <w:t>特色鲜明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且</w:t>
      </w:r>
      <w:r>
        <w:rPr>
          <w:rFonts w:hint="eastAsia" w:eastAsia="仿宋_GB2312"/>
          <w:sz w:val="32"/>
          <w:szCs w:val="32"/>
          <w:highlight w:val="none"/>
          <w:u w:val="none"/>
        </w:rPr>
        <w:t>与</w:t>
      </w:r>
      <w:r>
        <w:rPr>
          <w:rFonts w:hint="eastAsia" w:eastAsia="仿宋_GB2312"/>
          <w:strike w:val="0"/>
          <w:dstrike w:val="0"/>
          <w:sz w:val="32"/>
          <w:szCs w:val="32"/>
          <w:highlight w:val="none"/>
          <w:u w:val="none"/>
          <w:lang w:eastAsia="zh-CN"/>
        </w:rPr>
        <w:t>设区市及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以上</w:t>
      </w:r>
      <w:r>
        <w:rPr>
          <w:rFonts w:hint="eastAsia" w:eastAsia="仿宋_GB2312"/>
          <w:sz w:val="32"/>
          <w:szCs w:val="32"/>
          <w:highlight w:val="none"/>
          <w:u w:val="none"/>
        </w:rPr>
        <w:t>人民政府签订建设新型研发机构协议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的，可</w:t>
      </w:r>
      <w:r>
        <w:rPr>
          <w:rFonts w:hint="eastAsia" w:eastAsia="仿宋_GB2312"/>
          <w:sz w:val="32"/>
          <w:szCs w:val="32"/>
          <w:highlight w:val="none"/>
          <w:u w:val="none"/>
        </w:rPr>
        <w:t>不受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第七条所述</w:t>
      </w:r>
      <w:r>
        <w:rPr>
          <w:rFonts w:hint="eastAsia" w:eastAsia="仿宋_GB2312"/>
          <w:sz w:val="32"/>
          <w:szCs w:val="32"/>
          <w:highlight w:val="none"/>
          <w:u w:val="none"/>
        </w:rPr>
        <w:t>条件限制，可采取“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论证制</w:t>
      </w:r>
      <w:r>
        <w:rPr>
          <w:rFonts w:hint="eastAsia" w:eastAsia="仿宋_GB2312"/>
          <w:sz w:val="32"/>
          <w:szCs w:val="32"/>
          <w:highlight w:val="none"/>
          <w:u w:val="none"/>
        </w:rPr>
        <w:t>”方式组织认定。</w:t>
      </w:r>
    </w:p>
    <w:p w14:paraId="3E15A9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highlight w:val="none"/>
          <w:u w:val="none"/>
        </w:rPr>
      </w:pP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（一）</w:t>
      </w:r>
      <w:r>
        <w:rPr>
          <w:rFonts w:hint="eastAsia" w:eastAsia="仿宋_GB2312"/>
          <w:sz w:val="32"/>
          <w:szCs w:val="32"/>
          <w:highlight w:val="none"/>
          <w:u w:val="none"/>
        </w:rPr>
        <w:t>国内外一流高校、科研机构或高层次人才团队、国家级科研机构以及中央和地方大型国有企业、世界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500</w:t>
      </w:r>
      <w:r>
        <w:rPr>
          <w:rFonts w:hint="eastAsia" w:eastAsia="仿宋_GB2312"/>
          <w:sz w:val="32"/>
          <w:szCs w:val="32"/>
          <w:highlight w:val="none"/>
          <w:u w:val="none"/>
        </w:rPr>
        <w:t>强企业等知名企业来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桂</w:t>
      </w:r>
      <w:r>
        <w:rPr>
          <w:rFonts w:hint="eastAsia" w:eastAsia="仿宋_GB2312"/>
          <w:sz w:val="32"/>
          <w:szCs w:val="32"/>
          <w:highlight w:val="none"/>
          <w:u w:val="none"/>
        </w:rPr>
        <w:t>设立新型研发机构。</w:t>
      </w:r>
    </w:p>
    <w:p w14:paraId="343A9C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（二）区</w:t>
      </w:r>
      <w:r>
        <w:rPr>
          <w:rFonts w:hint="eastAsia" w:eastAsia="仿宋_GB2312"/>
          <w:sz w:val="32"/>
          <w:szCs w:val="32"/>
          <w:highlight w:val="none"/>
          <w:u w:val="none"/>
        </w:rPr>
        <w:t>内高校、各类科研机构、科研人员或创新团队，围绕自治区党委、政府重点扶持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eastAsia="仿宋_GB2312"/>
          <w:sz w:val="32"/>
          <w:szCs w:val="32"/>
          <w:highlight w:val="none"/>
          <w:u w:val="none"/>
        </w:rPr>
        <w:t>广西产业发展急需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  <w:t>战略性前沿技术、颠覆性技术、产业链共性技术和重大产品研发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  <w:t>需求</w:t>
      </w:r>
      <w:r>
        <w:rPr>
          <w:rFonts w:hint="eastAsia" w:eastAsia="仿宋_GB2312"/>
          <w:sz w:val="32"/>
          <w:szCs w:val="32"/>
          <w:highlight w:val="none"/>
          <w:u w:val="none"/>
        </w:rPr>
        <w:t>，牵头创办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  <w:t>或联合创办新型研发机构。</w:t>
      </w:r>
    </w:p>
    <w:p w14:paraId="28E618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  <w:t>（三）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上年度研究开发经费支出（以自治区统计局认定数据为准）大于5000万元的独立法人机构，设立或</w:t>
      </w:r>
      <w:r>
        <w:rPr>
          <w:rFonts w:hint="eastAsia" w:eastAsia="仿宋_GB2312"/>
          <w:sz w:val="32"/>
          <w:szCs w:val="32"/>
          <w:highlight w:val="none"/>
          <w:u w:val="none"/>
        </w:rPr>
        <w:t>牵头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  <w:t>创办新型研发机构。</w:t>
      </w:r>
    </w:p>
    <w:p w14:paraId="2F910E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  <w:t>“论证制”方式组织认定程序：申报单位提交申报建设方案及相关材料；组织专家论证；结果公示；正式发布认定文件。</w:t>
      </w:r>
    </w:p>
    <w:p w14:paraId="64D0FF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</w:p>
    <w:p w14:paraId="779DEC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第三章  管理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评估</w:t>
      </w:r>
    </w:p>
    <w:p w14:paraId="75C606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</w:p>
    <w:p w14:paraId="668A2D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trike w:val="0"/>
          <w:dstrike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第十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u w:val="none"/>
        </w:rPr>
        <w:t>条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eastAsia="仿宋_GB2312"/>
          <w:strike w:val="0"/>
          <w:dstrike w:val="0"/>
          <w:sz w:val="32"/>
          <w:szCs w:val="32"/>
          <w:u w:val="none"/>
        </w:rPr>
        <w:t>自治区</w:t>
      </w:r>
      <w:r>
        <w:rPr>
          <w:rFonts w:hint="eastAsia" w:eastAsia="仿宋_GB2312"/>
          <w:strike w:val="0"/>
          <w:dstrike w:val="0"/>
          <w:sz w:val="32"/>
          <w:szCs w:val="32"/>
          <w:u w:val="none"/>
          <w:lang w:eastAsia="zh-CN"/>
        </w:rPr>
        <w:t>科技厅</w:t>
      </w:r>
      <w:r>
        <w:rPr>
          <w:rFonts w:hint="eastAsia" w:eastAsia="仿宋_GB2312"/>
          <w:strike w:val="0"/>
          <w:dstrike w:val="0"/>
          <w:sz w:val="32"/>
          <w:szCs w:val="32"/>
          <w:u w:val="none"/>
          <w:lang w:val="en-US" w:eastAsia="zh-CN"/>
        </w:rPr>
        <w:t>负责</w:t>
      </w:r>
      <w:r>
        <w:rPr>
          <w:rFonts w:hint="eastAsia" w:eastAsia="仿宋_GB2312"/>
          <w:strike w:val="0"/>
          <w:dstrike w:val="0"/>
          <w:sz w:val="32"/>
          <w:szCs w:val="32"/>
          <w:u w:val="none"/>
        </w:rPr>
        <w:t>组织开展</w:t>
      </w:r>
      <w:r>
        <w:rPr>
          <w:rFonts w:hint="eastAsia" w:eastAsia="仿宋_GB2312"/>
          <w:strike w:val="0"/>
          <w:dstrike w:val="0"/>
          <w:sz w:val="32"/>
          <w:szCs w:val="32"/>
          <w:u w:val="none"/>
          <w:lang w:val="en-US" w:eastAsia="zh-CN"/>
        </w:rPr>
        <w:t>广西</w:t>
      </w:r>
      <w:r>
        <w:rPr>
          <w:rFonts w:hint="eastAsia" w:eastAsia="仿宋_GB2312"/>
          <w:strike w:val="0"/>
          <w:dstrike w:val="0"/>
          <w:sz w:val="32"/>
          <w:szCs w:val="32"/>
          <w:u w:val="none"/>
        </w:rPr>
        <w:t>新型研发机构的管理和</w:t>
      </w:r>
      <w:r>
        <w:rPr>
          <w:rFonts w:hint="eastAsia" w:eastAsia="仿宋_GB2312"/>
          <w:strike w:val="0"/>
          <w:dstrike w:val="0"/>
          <w:sz w:val="32"/>
          <w:szCs w:val="32"/>
          <w:u w:val="none"/>
          <w:lang w:val="en-US" w:eastAsia="zh-CN"/>
        </w:rPr>
        <w:t>绩效</w:t>
      </w:r>
      <w:r>
        <w:rPr>
          <w:rFonts w:hint="eastAsia" w:eastAsia="仿宋_GB2312"/>
          <w:strike w:val="0"/>
          <w:dstrike w:val="0"/>
          <w:sz w:val="32"/>
          <w:szCs w:val="32"/>
          <w:u w:val="none"/>
        </w:rPr>
        <w:t>评估工作。</w:t>
      </w:r>
    </w:p>
    <w:p w14:paraId="6B7BEF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eastAsia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第十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u w:val="none"/>
        </w:rPr>
        <w:t>条</w:t>
      </w:r>
      <w:r>
        <w:rPr>
          <w:rFonts w:hint="eastAsia" w:eastAsia="仿宋_GB2312"/>
          <w:sz w:val="32"/>
          <w:szCs w:val="32"/>
          <w:u w:val="none"/>
        </w:rPr>
        <w:t xml:space="preserve">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广西</w:t>
      </w:r>
      <w:r>
        <w:rPr>
          <w:rFonts w:hint="eastAsia" w:eastAsia="仿宋_GB2312"/>
          <w:sz w:val="32"/>
          <w:szCs w:val="32"/>
          <w:u w:val="none"/>
        </w:rPr>
        <w:t>新型研发机构名称、投资主体、主要人员变动等重大事项发生变化的，应在事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后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  <w:u w:val="none"/>
        </w:rPr>
        <w:t>个</w:t>
      </w:r>
      <w:r>
        <w:rPr>
          <w:rFonts w:eastAsia="仿宋_GB2312"/>
          <w:sz w:val="32"/>
          <w:szCs w:val="32"/>
          <w:u w:val="none"/>
        </w:rPr>
        <w:t>月内以书面形式向</w:t>
      </w:r>
      <w:r>
        <w:rPr>
          <w:rFonts w:hint="eastAsia" w:eastAsia="仿宋_GB2312"/>
          <w:sz w:val="32"/>
          <w:szCs w:val="32"/>
          <w:u w:val="none"/>
        </w:rPr>
        <w:t>自治区</w:t>
      </w:r>
      <w:r>
        <w:rPr>
          <w:rFonts w:hint="eastAsia" w:eastAsia="仿宋_GB2312"/>
          <w:sz w:val="32"/>
          <w:szCs w:val="32"/>
          <w:u w:val="none"/>
          <w:lang w:eastAsia="zh-CN"/>
        </w:rPr>
        <w:t>科技厅</w:t>
      </w:r>
      <w:r>
        <w:rPr>
          <w:rFonts w:hint="default" w:eastAsia="仿宋_GB2312"/>
          <w:sz w:val="32"/>
          <w:szCs w:val="32"/>
          <w:u w:val="none"/>
        </w:rPr>
        <w:t>报告，经资格核实通过后，</w:t>
      </w:r>
      <w:r>
        <w:rPr>
          <w:rFonts w:hint="eastAsia" w:ascii="Times New Roman" w:hAnsi="Times New Roman" w:eastAsia="仿宋_GB2312" w:cs="Times New Roman"/>
          <w:strike w:val="0"/>
          <w:dstrike w:val="0"/>
          <w:kern w:val="2"/>
          <w:sz w:val="32"/>
          <w:szCs w:val="32"/>
          <w:u w:val="none"/>
          <w:lang w:val="en-US" w:eastAsia="zh-CN" w:bidi="ar-SA"/>
        </w:rPr>
        <w:t>保留广西新型研发机构称号</w:t>
      </w:r>
      <w:r>
        <w:rPr>
          <w:rFonts w:hint="eastAsia" w:eastAsia="仿宋_GB2312"/>
          <w:sz w:val="32"/>
          <w:szCs w:val="32"/>
          <w:u w:val="none"/>
          <w:lang w:eastAsia="zh-CN"/>
        </w:rPr>
        <w:t>；</w:t>
      </w:r>
      <w:r>
        <w:rPr>
          <w:rFonts w:hint="default" w:eastAsia="仿宋_GB2312"/>
          <w:sz w:val="32"/>
          <w:szCs w:val="32"/>
          <w:u w:val="none"/>
          <w:lang w:val="en-US" w:eastAsia="zh-CN"/>
        </w:rPr>
        <w:t>如无正当理由不报告或资格核实不通过的</w:t>
      </w:r>
      <w:r>
        <w:rPr>
          <w:rFonts w:hint="default" w:eastAsia="仿宋_GB2312"/>
          <w:sz w:val="32"/>
          <w:szCs w:val="32"/>
          <w:u w:val="none"/>
        </w:rPr>
        <w:t>，</w:t>
      </w:r>
      <w:r>
        <w:rPr>
          <w:rFonts w:hint="eastAsia" w:ascii="Times New Roman" w:hAnsi="Times New Roman" w:eastAsia="仿宋_GB2312" w:cs="Times New Roman"/>
          <w:strike w:val="0"/>
          <w:dstrike w:val="0"/>
          <w:kern w:val="2"/>
          <w:sz w:val="32"/>
          <w:szCs w:val="32"/>
          <w:u w:val="none"/>
          <w:lang w:val="en-US" w:eastAsia="zh-CN" w:bidi="ar-SA"/>
        </w:rPr>
        <w:t>则取消广西新型研发机构称号</w:t>
      </w:r>
      <w:r>
        <w:rPr>
          <w:rFonts w:hint="default" w:eastAsia="仿宋_GB2312"/>
          <w:sz w:val="32"/>
          <w:szCs w:val="32"/>
          <w:u w:val="none"/>
        </w:rPr>
        <w:t>。</w:t>
      </w:r>
    </w:p>
    <w:p w14:paraId="448CDA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十四</w:t>
      </w:r>
      <w:r>
        <w:rPr>
          <w:rFonts w:hint="eastAsia" w:ascii="黑体" w:hAnsi="黑体" w:eastAsia="黑体" w:cs="黑体"/>
          <w:sz w:val="32"/>
          <w:szCs w:val="32"/>
          <w:u w:val="none"/>
        </w:rPr>
        <w:t>条</w:t>
      </w:r>
      <w:r>
        <w:rPr>
          <w:rFonts w:hint="eastAsia" w:eastAsia="仿宋_GB2312"/>
          <w:sz w:val="32"/>
          <w:szCs w:val="32"/>
          <w:u w:val="none"/>
        </w:rPr>
        <w:t xml:space="preserve">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 xml:space="preserve"> 广西</w:t>
      </w:r>
      <w:r>
        <w:rPr>
          <w:rFonts w:hint="eastAsia" w:eastAsia="仿宋_GB2312"/>
          <w:sz w:val="32"/>
          <w:szCs w:val="32"/>
          <w:u w:val="none"/>
        </w:rPr>
        <w:t>新型研发机构应在每年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月</w:t>
      </w:r>
      <w:r>
        <w:rPr>
          <w:rFonts w:hint="eastAsia" w:eastAsia="仿宋_GB2312"/>
          <w:sz w:val="32"/>
          <w:szCs w:val="32"/>
          <w:u w:val="none"/>
        </w:rPr>
        <w:t>份前按照要求填写上年度研发和经营活动基本信息，提交上一年度工作总结报告</w:t>
      </w:r>
      <w:r>
        <w:rPr>
          <w:rFonts w:hint="eastAsia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eastAsia="仿宋_GB2312"/>
          <w:sz w:val="32"/>
          <w:szCs w:val="32"/>
          <w:u w:val="none"/>
        </w:rPr>
        <w:t>汇报机构的建设进展情况、主要数据指标</w:t>
      </w:r>
      <w:r>
        <w:rPr>
          <w:rFonts w:hint="eastAsia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应包括但不限于依托单位、人员团队、年度工作成效、典型案例、意见建议</w:t>
      </w:r>
      <w:r>
        <w:rPr>
          <w:rFonts w:hint="eastAsia" w:eastAsia="仿宋_GB2312"/>
          <w:sz w:val="32"/>
          <w:szCs w:val="32"/>
          <w:u w:val="none"/>
        </w:rPr>
        <w:t>及下年度建设计划等。</w:t>
      </w:r>
    </w:p>
    <w:p w14:paraId="3E54E9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十五</w:t>
      </w:r>
      <w:r>
        <w:rPr>
          <w:rFonts w:hint="eastAsia" w:ascii="黑体" w:hAnsi="黑体" w:eastAsia="黑体" w:cs="黑体"/>
          <w:sz w:val="32"/>
          <w:szCs w:val="32"/>
          <w:u w:val="none"/>
        </w:rPr>
        <w:t xml:space="preserve">条  </w:t>
      </w:r>
      <w:r>
        <w:rPr>
          <w:rFonts w:hint="eastAsia" w:ascii="Calibri" w:hAnsi="Calibri" w:eastAsia="仿宋_GB2312" w:cs="Times New Roman"/>
          <w:sz w:val="32"/>
          <w:szCs w:val="32"/>
          <w:u w:val="none"/>
          <w:lang w:val="en-US" w:eastAsia="zh-CN"/>
        </w:rPr>
        <w:t>广西</w:t>
      </w:r>
      <w:r>
        <w:rPr>
          <w:rFonts w:hint="eastAsia" w:eastAsia="仿宋_GB2312"/>
          <w:sz w:val="32"/>
          <w:szCs w:val="32"/>
          <w:u w:val="none"/>
        </w:rPr>
        <w:t>新型研发机构应按要求配合</w:t>
      </w:r>
      <w:r>
        <w:rPr>
          <w:rFonts w:hint="eastAsia" w:eastAsia="仿宋_GB2312"/>
          <w:sz w:val="32"/>
          <w:szCs w:val="32"/>
          <w:u w:val="none"/>
          <w:lang w:eastAsia="zh-CN"/>
        </w:rPr>
        <w:t>统计、</w:t>
      </w:r>
      <w:r>
        <w:rPr>
          <w:rFonts w:hint="default" w:eastAsia="仿宋_GB2312"/>
          <w:sz w:val="32"/>
          <w:szCs w:val="32"/>
          <w:highlight w:val="none"/>
          <w:u w:val="none"/>
          <w:lang w:val="en-US"/>
        </w:rPr>
        <w:t>科学技术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行政</w:t>
      </w:r>
      <w:r>
        <w:rPr>
          <w:rFonts w:hint="default" w:eastAsia="仿宋_GB2312"/>
          <w:sz w:val="32"/>
          <w:szCs w:val="32"/>
          <w:highlight w:val="none"/>
          <w:u w:val="none"/>
          <w:lang w:val="en-US"/>
        </w:rPr>
        <w:t>部门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等</w:t>
      </w:r>
      <w:r>
        <w:rPr>
          <w:rFonts w:hint="eastAsia" w:eastAsia="仿宋_GB2312"/>
          <w:sz w:val="32"/>
          <w:szCs w:val="32"/>
          <w:u w:val="none"/>
        </w:rPr>
        <w:t>统计调查，如实填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报R&amp;D经</w:t>
      </w:r>
      <w:r>
        <w:rPr>
          <w:rFonts w:hint="eastAsia" w:eastAsia="仿宋_GB2312"/>
          <w:sz w:val="32"/>
          <w:szCs w:val="32"/>
          <w:u w:val="none"/>
        </w:rPr>
        <w:t>费支出等相关情况。</w:t>
      </w:r>
    </w:p>
    <w:p w14:paraId="24A567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十六</w:t>
      </w:r>
      <w:r>
        <w:rPr>
          <w:rFonts w:hint="eastAsia" w:ascii="黑体" w:hAnsi="黑体" w:eastAsia="黑体" w:cs="黑体"/>
          <w:sz w:val="32"/>
          <w:szCs w:val="32"/>
          <w:u w:val="none"/>
        </w:rPr>
        <w:t>条</w:t>
      </w:r>
      <w:r>
        <w:rPr>
          <w:rFonts w:hint="eastAsia" w:eastAsia="仿宋_GB2312"/>
          <w:sz w:val="32"/>
          <w:szCs w:val="32"/>
          <w:u w:val="none"/>
        </w:rPr>
        <w:t xml:space="preserve">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广西</w:t>
      </w:r>
      <w:r>
        <w:rPr>
          <w:rFonts w:hint="eastAsia" w:eastAsia="仿宋_GB2312"/>
          <w:sz w:val="32"/>
          <w:szCs w:val="32"/>
          <w:u w:val="none"/>
        </w:rPr>
        <w:t>新型研发机构严格遵守国家和自治区有关财经纪律，确保财政性资金专款专用，并自觉接受监督检查。对发生违反科技计划、资金等管理规定行为的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广西</w:t>
      </w:r>
      <w:r>
        <w:rPr>
          <w:rFonts w:hint="eastAsia" w:eastAsia="仿宋_GB2312"/>
          <w:sz w:val="32"/>
          <w:szCs w:val="32"/>
          <w:u w:val="none"/>
        </w:rPr>
        <w:t>新型研发机构，将依法依规追究责任</w:t>
      </w:r>
      <w:r>
        <w:rPr>
          <w:rFonts w:hint="eastAsia" w:eastAsia="仿宋_GB2312"/>
          <w:sz w:val="32"/>
          <w:szCs w:val="32"/>
          <w:u w:val="none"/>
          <w:lang w:eastAsia="zh-CN"/>
        </w:rPr>
        <w:t>。</w:t>
      </w:r>
    </w:p>
    <w:p w14:paraId="778C9E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十七</w:t>
      </w:r>
      <w:r>
        <w:rPr>
          <w:rFonts w:hint="eastAsia" w:ascii="黑体" w:hAnsi="黑体" w:eastAsia="黑体" w:cs="黑体"/>
          <w:sz w:val="32"/>
          <w:szCs w:val="32"/>
          <w:u w:val="none"/>
        </w:rPr>
        <w:t>条</w:t>
      </w:r>
      <w:r>
        <w:rPr>
          <w:rFonts w:hint="eastAsia" w:eastAsia="仿宋_GB2312"/>
          <w:sz w:val="32"/>
          <w:szCs w:val="32"/>
          <w:u w:val="none"/>
        </w:rPr>
        <w:t xml:space="preserve">  鼓励新型研发机构实行信息披露制度，通过公开渠道面向社会公开重大事项、年度报告等。</w:t>
      </w:r>
    </w:p>
    <w:p w14:paraId="35439E62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eastAsia="仿宋_GB2312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十八</w:t>
      </w:r>
      <w:r>
        <w:rPr>
          <w:rFonts w:hint="eastAsia" w:ascii="黑体" w:hAnsi="黑体" w:eastAsia="黑体" w:cs="黑体"/>
          <w:sz w:val="32"/>
          <w:szCs w:val="32"/>
          <w:u w:val="none"/>
        </w:rPr>
        <w:t>条</w:t>
      </w:r>
      <w:r>
        <w:rPr>
          <w:rFonts w:hint="eastAsia" w:eastAsia="仿宋_GB2312"/>
          <w:sz w:val="32"/>
          <w:szCs w:val="32"/>
          <w:u w:val="none"/>
        </w:rPr>
        <w:t xml:space="preserve">  </w:t>
      </w:r>
      <w:r>
        <w:rPr>
          <w:rFonts w:hint="eastAsia" w:eastAsia="仿宋_GB2312"/>
          <w:sz w:val="32"/>
          <w:szCs w:val="32"/>
          <w:u w:val="none"/>
          <w:lang w:eastAsia="zh-CN"/>
        </w:rPr>
        <w:t>有下列情况之一的</w:t>
      </w:r>
      <w:r>
        <w:rPr>
          <w:rFonts w:hint="default" w:eastAsia="仿宋_GB2312"/>
          <w:sz w:val="32"/>
          <w:szCs w:val="32"/>
          <w:u w:val="none"/>
          <w:lang w:eastAsia="zh-CN"/>
        </w:rPr>
        <w:t>,</w:t>
      </w:r>
      <w:r>
        <w:rPr>
          <w:rFonts w:hint="eastAsia" w:ascii="Times New Roman" w:hAnsi="Times New Roman" w:eastAsia="仿宋_GB2312" w:cs="Times New Roman"/>
          <w:strike w:val="0"/>
          <w:dstrike w:val="0"/>
          <w:kern w:val="2"/>
          <w:sz w:val="32"/>
          <w:szCs w:val="32"/>
          <w:u w:val="none"/>
          <w:lang w:val="en-US" w:eastAsia="zh-CN" w:bidi="ar-SA"/>
        </w:rPr>
        <w:t>取消广西新型研发机构称号</w:t>
      </w:r>
      <w:r>
        <w:rPr>
          <w:rFonts w:hint="default" w:eastAsia="仿宋_GB2312"/>
          <w:sz w:val="32"/>
          <w:szCs w:val="32"/>
          <w:u w:val="none"/>
          <w:lang w:eastAsia="zh-CN"/>
        </w:rPr>
        <w:t>,存在违规情况的,按照相关规定予以惩戒:</w:t>
      </w:r>
    </w:p>
    <w:p w14:paraId="6169BE1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eastAsia="仿宋_GB2312"/>
          <w:sz w:val="32"/>
          <w:szCs w:val="32"/>
          <w:u w:val="none"/>
          <w:lang w:eastAsia="zh-CN"/>
        </w:rPr>
      </w:pPr>
      <w:r>
        <w:rPr>
          <w:rFonts w:hint="eastAsia" w:eastAsia="仿宋_GB2312"/>
          <w:sz w:val="32"/>
          <w:szCs w:val="32"/>
          <w:u w:val="none"/>
          <w:lang w:eastAsia="zh-CN"/>
        </w:rPr>
        <w:t>（一）</w:t>
      </w:r>
      <w:r>
        <w:rPr>
          <w:rFonts w:hint="default" w:eastAsia="仿宋_GB2312"/>
          <w:sz w:val="32"/>
          <w:szCs w:val="32"/>
          <w:u w:val="none"/>
          <w:lang w:eastAsia="zh-CN"/>
        </w:rPr>
        <w:t>发生重大变更后不具备新型研发机构基本条件的(包括不按要求报告重大变更或重大变更审核不通过)</w:t>
      </w:r>
      <w:r>
        <w:rPr>
          <w:rFonts w:hint="eastAsia" w:eastAsia="仿宋_GB2312"/>
          <w:sz w:val="32"/>
          <w:szCs w:val="32"/>
          <w:u w:val="none"/>
          <w:lang w:eastAsia="zh-CN"/>
        </w:rPr>
        <w:t>；</w:t>
      </w:r>
    </w:p>
    <w:p w14:paraId="0821EA7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eastAsia="仿宋_GB2312"/>
          <w:sz w:val="32"/>
          <w:szCs w:val="32"/>
          <w:u w:val="none"/>
          <w:lang w:eastAsia="zh-CN"/>
        </w:rPr>
      </w:pPr>
      <w:r>
        <w:rPr>
          <w:rFonts w:hint="eastAsia" w:eastAsia="仿宋_GB2312"/>
          <w:sz w:val="32"/>
          <w:szCs w:val="32"/>
          <w:u w:val="none"/>
          <w:lang w:eastAsia="zh-CN"/>
        </w:rPr>
        <w:t>（二）</w:t>
      </w:r>
      <w:r>
        <w:rPr>
          <w:rFonts w:hint="eastAsia" w:ascii="Times New Roman" w:hAnsi="Times New Roman" w:eastAsia="仿宋_GB2312" w:cs="Times New Roman"/>
          <w:strike w:val="0"/>
          <w:dstrike w:val="0"/>
          <w:kern w:val="2"/>
          <w:sz w:val="32"/>
          <w:szCs w:val="32"/>
          <w:u w:val="none"/>
          <w:lang w:val="en-US" w:eastAsia="zh-CN" w:bidi="ar-SA"/>
        </w:rPr>
        <w:t>不按期参加绩效评估</w:t>
      </w:r>
      <w:r>
        <w:rPr>
          <w:rFonts w:hint="default" w:eastAsia="仿宋_GB2312"/>
          <w:sz w:val="32"/>
          <w:szCs w:val="32"/>
          <w:u w:val="none"/>
          <w:lang w:eastAsia="zh-CN"/>
        </w:rPr>
        <w:t>或</w:t>
      </w:r>
      <w:r>
        <w:rPr>
          <w:rFonts w:hint="eastAsia" w:eastAsia="仿宋_GB2312"/>
          <w:sz w:val="32"/>
          <w:szCs w:val="32"/>
          <w:u w:val="none"/>
          <w:lang w:eastAsia="zh-CN"/>
        </w:rPr>
        <w:t>评估等次为“撤销”</w:t>
      </w:r>
      <w:r>
        <w:rPr>
          <w:rFonts w:hint="default" w:eastAsia="仿宋_GB2312"/>
          <w:sz w:val="32"/>
          <w:szCs w:val="32"/>
          <w:u w:val="none"/>
          <w:lang w:eastAsia="zh-CN"/>
        </w:rPr>
        <w:t>的</w:t>
      </w:r>
      <w:r>
        <w:rPr>
          <w:rFonts w:hint="eastAsia" w:eastAsia="仿宋_GB2312"/>
          <w:sz w:val="32"/>
          <w:szCs w:val="32"/>
          <w:u w:val="none"/>
          <w:lang w:eastAsia="zh-CN"/>
        </w:rPr>
        <w:t>；</w:t>
      </w:r>
    </w:p>
    <w:p w14:paraId="4938939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eastAsia="仿宋_GB2312"/>
          <w:sz w:val="32"/>
          <w:szCs w:val="32"/>
          <w:u w:val="none"/>
          <w:lang w:eastAsia="zh-CN"/>
        </w:rPr>
      </w:pPr>
      <w:r>
        <w:rPr>
          <w:rFonts w:hint="eastAsia" w:eastAsia="仿宋_GB2312"/>
          <w:sz w:val="32"/>
          <w:szCs w:val="32"/>
          <w:u w:val="none"/>
          <w:lang w:eastAsia="zh-CN"/>
        </w:rPr>
        <w:t>（三）</w:t>
      </w:r>
      <w:r>
        <w:rPr>
          <w:rFonts w:hint="default" w:eastAsia="仿宋_GB2312"/>
          <w:sz w:val="32"/>
          <w:szCs w:val="32"/>
          <w:u w:val="none"/>
          <w:lang w:eastAsia="zh-CN"/>
        </w:rPr>
        <w:t>提供虚假申报材料经核实影响评价结果的</w:t>
      </w:r>
      <w:r>
        <w:rPr>
          <w:rFonts w:hint="eastAsia" w:eastAsia="仿宋_GB2312"/>
          <w:sz w:val="32"/>
          <w:szCs w:val="32"/>
          <w:u w:val="none"/>
          <w:lang w:eastAsia="zh-CN"/>
        </w:rPr>
        <w:t>；</w:t>
      </w:r>
    </w:p>
    <w:p w14:paraId="4667265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eastAsia="仿宋_GB2312"/>
          <w:sz w:val="32"/>
          <w:szCs w:val="32"/>
          <w:u w:val="none"/>
          <w:lang w:eastAsia="zh-CN"/>
        </w:rPr>
      </w:pPr>
      <w:r>
        <w:rPr>
          <w:rFonts w:hint="eastAsia" w:eastAsia="仿宋_GB2312"/>
          <w:sz w:val="32"/>
          <w:szCs w:val="32"/>
          <w:u w:val="none"/>
          <w:lang w:eastAsia="zh-CN"/>
        </w:rPr>
        <w:t>（四）</w:t>
      </w:r>
      <w:r>
        <w:rPr>
          <w:rFonts w:hint="default" w:eastAsia="仿宋_GB2312"/>
          <w:sz w:val="32"/>
          <w:szCs w:val="32"/>
          <w:u w:val="none"/>
          <w:lang w:eastAsia="zh-CN"/>
        </w:rPr>
        <w:t>在科研诚信系统中有失信行为记录且仍在惩戒期内的</w:t>
      </w:r>
      <w:r>
        <w:rPr>
          <w:rFonts w:hint="eastAsia" w:eastAsia="仿宋_GB2312"/>
          <w:sz w:val="32"/>
          <w:szCs w:val="32"/>
          <w:u w:val="none"/>
          <w:lang w:eastAsia="zh-CN"/>
        </w:rPr>
        <w:t>；</w:t>
      </w:r>
    </w:p>
    <w:p w14:paraId="21A3B70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eastAsia="仿宋_GB2312"/>
          <w:sz w:val="32"/>
          <w:szCs w:val="32"/>
          <w:u w:val="none"/>
          <w:lang w:eastAsia="zh-CN"/>
        </w:rPr>
      </w:pPr>
      <w:r>
        <w:rPr>
          <w:rFonts w:hint="eastAsia" w:eastAsia="仿宋_GB2312"/>
          <w:sz w:val="32"/>
          <w:szCs w:val="32"/>
          <w:u w:val="none"/>
          <w:lang w:eastAsia="zh-CN"/>
        </w:rPr>
        <w:t>（五）</w:t>
      </w:r>
      <w:r>
        <w:rPr>
          <w:rFonts w:hint="default" w:eastAsia="仿宋_GB2312"/>
          <w:sz w:val="32"/>
          <w:szCs w:val="32"/>
          <w:u w:val="none"/>
          <w:lang w:eastAsia="zh-CN"/>
        </w:rPr>
        <w:t>机构法人资格被依法终止的</w:t>
      </w:r>
      <w:r>
        <w:rPr>
          <w:rFonts w:hint="eastAsia" w:eastAsia="仿宋_GB2312"/>
          <w:sz w:val="32"/>
          <w:szCs w:val="32"/>
          <w:u w:val="none"/>
          <w:lang w:eastAsia="zh-CN"/>
        </w:rPr>
        <w:t>；</w:t>
      </w:r>
    </w:p>
    <w:p w14:paraId="4E369CC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eastAsia="仿宋_GB2312"/>
          <w:sz w:val="32"/>
          <w:szCs w:val="32"/>
          <w:u w:val="none"/>
          <w:lang w:eastAsia="zh-CN"/>
        </w:rPr>
      </w:pPr>
      <w:r>
        <w:rPr>
          <w:rFonts w:hint="eastAsia" w:eastAsia="仿宋_GB2312"/>
          <w:sz w:val="32"/>
          <w:szCs w:val="32"/>
          <w:u w:val="none"/>
          <w:lang w:eastAsia="zh-CN"/>
        </w:rPr>
        <w:t>（六）不按</w:t>
      </w:r>
      <w:r>
        <w:rPr>
          <w:rFonts w:hint="eastAsia" w:eastAsia="仿宋_GB2312"/>
          <w:sz w:val="32"/>
          <w:szCs w:val="32"/>
          <w:u w:val="none"/>
        </w:rPr>
        <w:t>要求配合</w:t>
      </w:r>
      <w:r>
        <w:rPr>
          <w:rFonts w:hint="eastAsia" w:eastAsia="仿宋_GB2312"/>
          <w:sz w:val="32"/>
          <w:szCs w:val="32"/>
          <w:u w:val="none"/>
          <w:lang w:eastAsia="zh-CN"/>
        </w:rPr>
        <w:t>统计、</w:t>
      </w:r>
      <w:r>
        <w:rPr>
          <w:rFonts w:hint="default" w:eastAsia="仿宋_GB2312"/>
          <w:sz w:val="32"/>
          <w:szCs w:val="32"/>
          <w:highlight w:val="none"/>
          <w:u w:val="none"/>
          <w:lang w:val="en-US"/>
        </w:rPr>
        <w:t>科学技术行政部门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等</w:t>
      </w:r>
      <w:r>
        <w:rPr>
          <w:rFonts w:hint="eastAsia" w:eastAsia="仿宋_GB2312"/>
          <w:sz w:val="32"/>
          <w:szCs w:val="32"/>
          <w:u w:val="none"/>
        </w:rPr>
        <w:t>统计调查</w:t>
      </w:r>
      <w:r>
        <w:rPr>
          <w:rFonts w:hint="eastAsia" w:eastAsia="仿宋_GB2312"/>
          <w:sz w:val="32"/>
          <w:szCs w:val="32"/>
          <w:u w:val="none"/>
          <w:lang w:eastAsia="zh-CN"/>
        </w:rPr>
        <w:t>的；</w:t>
      </w:r>
    </w:p>
    <w:p w14:paraId="5AB3F8F2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eastAsia="仿宋_GB2312"/>
          <w:sz w:val="32"/>
          <w:szCs w:val="32"/>
          <w:u w:val="none"/>
          <w:lang w:val="en" w:eastAsia="zh-CN"/>
        </w:rPr>
      </w:pPr>
      <w:r>
        <w:rPr>
          <w:rFonts w:hint="eastAsia" w:eastAsia="仿宋_GB2312"/>
          <w:sz w:val="32"/>
          <w:szCs w:val="32"/>
          <w:u w:val="none"/>
          <w:lang w:val="en" w:eastAsia="zh-CN"/>
        </w:rPr>
        <w:t>（七）造成严重社会负面影响的；</w:t>
      </w:r>
    </w:p>
    <w:p w14:paraId="00DB3A8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default" w:eastAsia="仿宋_GB2312"/>
          <w:sz w:val="32"/>
          <w:szCs w:val="32"/>
          <w:u w:val="none"/>
          <w:lang w:eastAsia="zh-CN"/>
        </w:rPr>
      </w:pPr>
      <w:r>
        <w:rPr>
          <w:rFonts w:hint="eastAsia" w:eastAsia="仿宋_GB2312"/>
          <w:sz w:val="32"/>
          <w:szCs w:val="32"/>
          <w:u w:val="none"/>
          <w:lang w:val="en" w:eastAsia="zh-CN"/>
        </w:rPr>
        <w:t>（八）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法律、法规、规章规定的其他应予以撤销情形的</w:t>
      </w:r>
      <w:r>
        <w:rPr>
          <w:rFonts w:hint="default" w:eastAsia="仿宋_GB2312"/>
          <w:sz w:val="32"/>
          <w:szCs w:val="32"/>
          <w:u w:val="none"/>
          <w:lang w:eastAsia="zh-CN"/>
        </w:rPr>
        <w:t>。</w:t>
      </w:r>
    </w:p>
    <w:p w14:paraId="5804406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第十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九</w:t>
      </w:r>
      <w:r>
        <w:rPr>
          <w:rFonts w:hint="eastAsia" w:ascii="黑体" w:hAnsi="黑体" w:eastAsia="黑体" w:cs="黑体"/>
          <w:sz w:val="32"/>
          <w:szCs w:val="32"/>
          <w:u w:val="none"/>
        </w:rPr>
        <w:t>条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eastAsia="仿宋_GB2312"/>
          <w:strike w:val="0"/>
          <w:dstrike w:val="0"/>
          <w:sz w:val="32"/>
          <w:szCs w:val="32"/>
          <w:u w:val="none"/>
        </w:rPr>
        <w:t>对通过认定的</w:t>
      </w:r>
      <w:r>
        <w:rPr>
          <w:rFonts w:hint="eastAsia" w:eastAsia="仿宋_GB2312"/>
          <w:strike w:val="0"/>
          <w:dstrike w:val="0"/>
          <w:sz w:val="32"/>
          <w:szCs w:val="32"/>
          <w:u w:val="none"/>
          <w:lang w:val="en-US" w:eastAsia="zh-CN"/>
        </w:rPr>
        <w:t>广西</w:t>
      </w:r>
      <w:r>
        <w:rPr>
          <w:rFonts w:hint="eastAsia" w:eastAsia="仿宋_GB2312"/>
          <w:strike w:val="0"/>
          <w:dstrike w:val="0"/>
          <w:sz w:val="32"/>
          <w:szCs w:val="32"/>
          <w:u w:val="none"/>
        </w:rPr>
        <w:t>新型研发机构</w:t>
      </w:r>
      <w:r>
        <w:rPr>
          <w:rFonts w:hint="eastAsia" w:eastAsia="仿宋_GB2312"/>
          <w:strike w:val="0"/>
          <w:dstrike w:val="0"/>
          <w:sz w:val="32"/>
          <w:szCs w:val="32"/>
          <w:u w:val="none"/>
          <w:lang w:eastAsia="zh-CN"/>
        </w:rPr>
        <w:t>，</w:t>
      </w:r>
      <w:r>
        <w:rPr>
          <w:rFonts w:hint="eastAsia" w:eastAsia="仿宋_GB2312"/>
          <w:strike w:val="0"/>
          <w:dstrike w:val="0"/>
          <w:sz w:val="32"/>
          <w:szCs w:val="32"/>
          <w:u w:val="none"/>
        </w:rPr>
        <w:t>自治区科技</w:t>
      </w:r>
      <w:r>
        <w:rPr>
          <w:rFonts w:hint="eastAsia" w:eastAsia="仿宋_GB2312"/>
          <w:strike w:val="0"/>
          <w:dstrike w:val="0"/>
          <w:sz w:val="32"/>
          <w:szCs w:val="32"/>
          <w:u w:val="none"/>
          <w:lang w:eastAsia="zh-CN"/>
        </w:rPr>
        <w:t>厅每</w:t>
      </w:r>
      <w:r>
        <w:rPr>
          <w:rFonts w:hint="default" w:ascii="Times New Roman" w:hAnsi="Times New Roman" w:eastAsia="仿宋_GB2312"/>
          <w:strike w:val="0"/>
          <w:dstrike w:val="0"/>
          <w:sz w:val="32"/>
          <w:szCs w:val="32"/>
          <w:u w:val="none"/>
          <w:lang w:val="en-US" w:eastAsia="zh-CN"/>
        </w:rPr>
        <w:t>3年</w:t>
      </w:r>
      <w:r>
        <w:rPr>
          <w:rFonts w:hint="default" w:ascii="Times New Roman" w:hAnsi="Times New Roman" w:eastAsia="仿宋_GB2312"/>
          <w:strike w:val="0"/>
          <w:dstrike w:val="0"/>
          <w:sz w:val="32"/>
          <w:szCs w:val="32"/>
          <w:u w:val="none"/>
        </w:rPr>
        <w:t>进行</w:t>
      </w:r>
      <w:r>
        <w:rPr>
          <w:rFonts w:hint="default" w:ascii="Times New Roman" w:hAnsi="Times New Roman" w:eastAsia="仿宋_GB2312"/>
          <w:strike w:val="0"/>
          <w:dstrike w:val="0"/>
          <w:sz w:val="32"/>
          <w:szCs w:val="32"/>
          <w:u w:val="none"/>
          <w:lang w:eastAsia="zh-CN"/>
        </w:rPr>
        <w:t>一次绩效评估。其中，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开放运行满3年的，必须参与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-SA"/>
        </w:rPr>
        <w:t>评估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。开放运行时间为获得认定起始时间至绩效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评估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通知发布之日。重点考核绩效评估周期内产生的成果，所有成果仅能使用一次。</w:t>
      </w:r>
    </w:p>
    <w:p w14:paraId="140DE77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eastAsia="仿宋_GB2312"/>
          <w:sz w:val="32"/>
          <w:szCs w:val="32"/>
          <w:u w:val="none"/>
          <w:lang w:val="en-US" w:eastAsia="zh-CN"/>
        </w:rPr>
      </w:pPr>
      <w:r>
        <w:rPr>
          <w:rFonts w:hint="eastAsia" w:eastAsia="仿宋_GB2312"/>
          <w:sz w:val="32"/>
          <w:szCs w:val="32"/>
          <w:u w:val="none"/>
          <w:lang w:val="en-US" w:eastAsia="zh-CN"/>
        </w:rPr>
        <w:t>评估主要采取专家评审，经过函评、现场核查、会议评审等方式，</w:t>
      </w:r>
      <w:r>
        <w:rPr>
          <w:rFonts w:hint="eastAsia" w:eastAsia="仿宋_GB2312"/>
          <w:sz w:val="32"/>
          <w:szCs w:val="32"/>
          <w:u w:val="none"/>
          <w:lang w:eastAsia="zh-CN"/>
        </w:rPr>
        <w:t>评估等次分为“优秀、良好、合格、整改、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撤销”五个等次</w:t>
      </w:r>
      <w:r>
        <w:rPr>
          <w:rFonts w:hint="eastAsia" w:eastAsia="仿宋_GB2312"/>
          <w:sz w:val="32"/>
          <w:szCs w:val="32"/>
          <w:u w:val="none"/>
          <w:lang w:eastAsia="zh-CN"/>
        </w:rPr>
        <w:t>。评估</w:t>
      </w:r>
      <w:r>
        <w:rPr>
          <w:rFonts w:hint="eastAsia" w:ascii="Times New Roman" w:hAnsi="Times New Roman" w:eastAsia="仿宋_GB2312" w:cs="Times New Roman"/>
          <w:strike w:val="0"/>
          <w:dstrike w:val="0"/>
          <w:kern w:val="2"/>
          <w:sz w:val="32"/>
          <w:szCs w:val="32"/>
          <w:u w:val="none"/>
          <w:lang w:val="en-US" w:eastAsia="zh-CN" w:bidi="ar-SA"/>
        </w:rPr>
        <w:t>等次为“整改”的，在评估等次公布后认真组织实施整改，</w:t>
      </w:r>
      <w:r>
        <w:rPr>
          <w:rFonts w:hint="default" w:ascii="Times New Roman" w:hAnsi="Times New Roman" w:eastAsia="仿宋_GB2312" w:cs="Times New Roman"/>
          <w:strike w:val="0"/>
          <w:dstrike w:val="0"/>
          <w:kern w:val="2"/>
          <w:sz w:val="32"/>
          <w:szCs w:val="32"/>
          <w:u w:val="none"/>
          <w:lang w:val="en-US" w:eastAsia="zh-CN" w:bidi="ar-SA"/>
        </w:rPr>
        <w:t>限1年的</w:t>
      </w:r>
      <w:r>
        <w:rPr>
          <w:rFonts w:hint="eastAsia" w:ascii="Times New Roman" w:hAnsi="Times New Roman" w:eastAsia="仿宋_GB2312" w:cs="Times New Roman"/>
          <w:strike w:val="0"/>
          <w:dstrike w:val="0"/>
          <w:kern w:val="2"/>
          <w:sz w:val="32"/>
          <w:szCs w:val="32"/>
          <w:u w:val="none"/>
          <w:lang w:val="en-US" w:eastAsia="zh-CN" w:bidi="ar-SA"/>
        </w:rPr>
        <w:t>整改期，到期后重新组织验收。验收通过，则保留广西新型研发机构称号；验收不通过，则取消广西新型研发机构称号。</w:t>
      </w:r>
    </w:p>
    <w:p w14:paraId="509CFB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</w:p>
    <w:p w14:paraId="36636F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 xml:space="preserve">第四章  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支持措施</w:t>
      </w:r>
    </w:p>
    <w:p w14:paraId="75B14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</w:p>
    <w:p w14:paraId="6C4C1B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二十条</w:t>
      </w:r>
      <w:r>
        <w:rPr>
          <w:rFonts w:hint="eastAsia" w:ascii="黑体" w:hAnsi="黑体" w:eastAsia="黑体" w:cs="黑体"/>
          <w:sz w:val="32"/>
          <w:szCs w:val="32"/>
          <w:u w:val="non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u w:val="none"/>
        </w:rPr>
        <w:t>符合条件的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广西</w:t>
      </w:r>
      <w:r>
        <w:rPr>
          <w:rFonts w:hint="eastAsia" w:eastAsia="仿宋_GB2312"/>
          <w:sz w:val="32"/>
          <w:szCs w:val="32"/>
          <w:u w:val="none"/>
        </w:rPr>
        <w:t>新型研发机构可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享受</w:t>
      </w:r>
      <w:r>
        <w:rPr>
          <w:rFonts w:hint="eastAsia" w:eastAsia="仿宋_GB2312"/>
          <w:sz w:val="32"/>
          <w:szCs w:val="32"/>
          <w:u w:val="none"/>
        </w:rPr>
        <w:t>以下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政策支持</w:t>
      </w:r>
      <w:r>
        <w:rPr>
          <w:rFonts w:hint="eastAsia" w:eastAsia="仿宋_GB2312"/>
          <w:sz w:val="32"/>
          <w:szCs w:val="32"/>
          <w:u w:val="none"/>
          <w:lang w:eastAsia="zh-CN"/>
        </w:rPr>
        <w:t>：</w:t>
      </w:r>
    </w:p>
    <w:p w14:paraId="7D32785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（一）鼓励支持广西新型研发机构申报广西科技计划项目、中央引导地方科技发展资金项目。其中，绩效评估结果为“优秀”和“良好”的新型研发机构，同等条件下予以优先支持。</w:t>
      </w:r>
    </w:p>
    <w:p w14:paraId="2A015209">
      <w:pPr>
        <w:pStyle w:val="2"/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符合相关规定的新型研发机构，参照《广西壮族自治区促进科技成果转化条例》《广西促进科技成果转化实施股权和分红奖励办法》享受相应扶持政策。</w:t>
      </w:r>
    </w:p>
    <w:p w14:paraId="58783B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符合相关条件的新型研发机构可依法享受研发费用加计扣除、研发仪器设备加速折旧和进口科研仪器设备减免关税等优惠政策。</w:t>
      </w:r>
    </w:p>
    <w:p w14:paraId="4DB6B71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（四）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符合相关条件的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新型研发机构在政府项目承担、职称评审、人才引进、建设用地、投资融资等方面享受与国有科学技术研究开发机构同等待遇。</w:t>
      </w:r>
    </w:p>
    <w:p w14:paraId="247FC0E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　　（五）鼓励县级以上人民政府列支相应财政资金，扶持本地新型研发机构建设，对重点、特殊的新型研发机构，可以依法通过“论证制”方式给予支持。</w:t>
      </w:r>
    </w:p>
    <w:p w14:paraId="5BC3EC2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（六）鼓励新型研发机构开展原创性研究和前沿交叉学科研究、行业共性关键技术研究开发，提供公共技术服务，孵化培育科技型企业。</w:t>
      </w:r>
    </w:p>
    <w:p w14:paraId="617E778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（七）鼓励高校、科研院所的科研人员到新型研发机构开展科学研究、技术创新和成果转化等工作，科研人员在新型研发机构取得的业绩同时认定为共建单位的业绩。</w:t>
      </w:r>
    </w:p>
    <w:p w14:paraId="28DAACE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/>
        </w:rPr>
      </w:pPr>
    </w:p>
    <w:p w14:paraId="54570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第五章  附则</w:t>
      </w:r>
    </w:p>
    <w:p w14:paraId="1FEB3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eastAsia="仿宋_GB2312"/>
          <w:sz w:val="32"/>
          <w:szCs w:val="32"/>
          <w:u w:val="none"/>
        </w:rPr>
      </w:pPr>
    </w:p>
    <w:p w14:paraId="2B0735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二十一</w:t>
      </w:r>
      <w:r>
        <w:rPr>
          <w:rFonts w:hint="eastAsia" w:ascii="黑体" w:hAnsi="黑体" w:eastAsia="黑体" w:cs="黑体"/>
          <w:sz w:val="32"/>
          <w:szCs w:val="32"/>
          <w:u w:val="none"/>
        </w:rPr>
        <w:t>条</w:t>
      </w:r>
      <w:r>
        <w:rPr>
          <w:rFonts w:hint="eastAsia" w:eastAsia="仿宋_GB2312"/>
          <w:sz w:val="32"/>
          <w:szCs w:val="32"/>
          <w:u w:val="none"/>
        </w:rPr>
        <w:t xml:space="preserve">  本办法由</w:t>
      </w:r>
      <w:r>
        <w:rPr>
          <w:rFonts w:hint="eastAsia" w:eastAsia="仿宋_GB2312"/>
          <w:sz w:val="32"/>
          <w:szCs w:val="32"/>
          <w:highlight w:val="none"/>
          <w:u w:val="none"/>
        </w:rPr>
        <w:t>自治区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科技厅</w:t>
      </w:r>
      <w:r>
        <w:rPr>
          <w:rFonts w:hint="eastAsia" w:eastAsia="仿宋_GB2312"/>
          <w:sz w:val="32"/>
          <w:szCs w:val="32"/>
          <w:u w:val="none"/>
        </w:rPr>
        <w:t>解释。</w:t>
      </w:r>
    </w:p>
    <w:p w14:paraId="54FCA1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二十二</w:t>
      </w:r>
      <w:r>
        <w:rPr>
          <w:rFonts w:hint="eastAsia" w:ascii="黑体" w:hAnsi="黑体" w:eastAsia="黑体" w:cs="黑体"/>
          <w:sz w:val="32"/>
          <w:szCs w:val="32"/>
          <w:u w:val="none"/>
        </w:rPr>
        <w:t xml:space="preserve">条 </w:t>
      </w:r>
      <w:r>
        <w:rPr>
          <w:rFonts w:hint="eastAsia" w:eastAsia="仿宋_GB2312"/>
          <w:sz w:val="32"/>
          <w:szCs w:val="32"/>
          <w:u w:val="none"/>
        </w:rPr>
        <w:t xml:space="preserve"> 各设区市</w:t>
      </w:r>
      <w:r>
        <w:rPr>
          <w:rFonts w:hint="eastAsia" w:eastAsia="仿宋_GB2312"/>
          <w:sz w:val="32"/>
          <w:szCs w:val="32"/>
          <w:u w:val="none"/>
          <w:lang w:eastAsia="zh-CN"/>
        </w:rPr>
        <w:t>科技局</w:t>
      </w:r>
      <w:r>
        <w:rPr>
          <w:rFonts w:hint="eastAsia" w:eastAsia="仿宋_GB2312"/>
          <w:sz w:val="32"/>
          <w:szCs w:val="32"/>
          <w:u w:val="none"/>
        </w:rPr>
        <w:t>可参照本办法制定相关实施细则，开展本级新型研发机构管理工作。</w:t>
      </w:r>
    </w:p>
    <w:p w14:paraId="6AB981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二十三</w:t>
      </w:r>
      <w:r>
        <w:rPr>
          <w:rFonts w:hint="eastAsia" w:ascii="黑体" w:hAnsi="黑体" w:eastAsia="黑体" w:cs="黑体"/>
          <w:sz w:val="32"/>
          <w:szCs w:val="32"/>
          <w:u w:val="none"/>
        </w:rPr>
        <w:t xml:space="preserve">条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</w:rPr>
        <w:t>本办法自发布</w:t>
      </w:r>
      <w:r>
        <w:rPr>
          <w:rFonts w:hint="eastAsia" w:eastAsia="仿宋_GB2312"/>
          <w:sz w:val="32"/>
          <w:szCs w:val="32"/>
          <w:u w:val="none"/>
        </w:rPr>
        <w:t>之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日起施行。20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/>
        </w:rPr>
        <w:t>21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年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月6日印发的《广西新型研发机构</w:t>
      </w:r>
      <w:r>
        <w:rPr>
          <w:rFonts w:hint="default" w:ascii="Times New Roman" w:hAnsi="Times New Roman" w:eastAsia="仿宋_GB2312"/>
          <w:sz w:val="32"/>
          <w:szCs w:val="32"/>
          <w:u w:val="none"/>
          <w:lang w:eastAsia="zh-CN"/>
        </w:rPr>
        <w:t>认定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管理办法》（桂科政</w:t>
      </w:r>
      <w:r>
        <w:rPr>
          <w:rFonts w:ascii="Times New Roman" w:hAnsi="Times New Roman" w:eastAsia="仿宋_GB2312"/>
          <w:sz w:val="32"/>
          <w:szCs w:val="32"/>
          <w:u w:val="none"/>
        </w:rPr>
        <w:t>字〔20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/>
        </w:rPr>
        <w:t>21</w:t>
      </w:r>
      <w:r>
        <w:rPr>
          <w:rFonts w:ascii="Times New Roman" w:hAnsi="Times New Roman" w:eastAsia="仿宋_GB2312"/>
          <w:sz w:val="32"/>
          <w:szCs w:val="32"/>
          <w:u w:val="none"/>
        </w:rPr>
        <w:t>〕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/>
        </w:rPr>
        <w:t>69</w:t>
      </w:r>
      <w:r>
        <w:rPr>
          <w:rFonts w:ascii="Times New Roman" w:hAnsi="Times New Roman" w:eastAsia="仿宋_GB2312"/>
          <w:sz w:val="32"/>
          <w:szCs w:val="32"/>
          <w:u w:val="none"/>
        </w:rPr>
        <w:t>号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）同时废止。广西新</w:t>
      </w:r>
      <w:r>
        <w:rPr>
          <w:rFonts w:hint="eastAsia" w:eastAsia="仿宋_GB2312"/>
          <w:sz w:val="32"/>
          <w:szCs w:val="32"/>
          <w:u w:val="none"/>
        </w:rPr>
        <w:t>型研发机构其他相关政策，与本办法存在冲突的以本办法为准。</w:t>
      </w:r>
    </w:p>
    <w:p w14:paraId="1643EADE"/>
    <w:p w14:paraId="1EDDF085">
      <w:pPr>
        <w:pStyle w:val="12"/>
      </w:pPr>
    </w:p>
    <w:p w14:paraId="7BC9FF6D">
      <w:pPr>
        <w:pStyle w:val="8"/>
      </w:pPr>
    </w:p>
    <w:p w14:paraId="10C17D0F">
      <w:pPr>
        <w:pStyle w:val="6"/>
      </w:pPr>
    </w:p>
    <w:p w14:paraId="0632AD4F"/>
    <w:p w14:paraId="02709B5B">
      <w:pPr>
        <w:pStyle w:val="12"/>
      </w:pPr>
    </w:p>
    <w:p w14:paraId="5A600738">
      <w:pPr>
        <w:pStyle w:val="8"/>
      </w:pPr>
    </w:p>
    <w:p w14:paraId="3A7B6003">
      <w:pPr>
        <w:pStyle w:val="6"/>
      </w:pPr>
    </w:p>
    <w:p w14:paraId="06BCBA10"/>
    <w:p w14:paraId="18486515">
      <w:pPr>
        <w:pStyle w:val="12"/>
      </w:pPr>
    </w:p>
    <w:p w14:paraId="585DB2A6">
      <w:pPr>
        <w:pStyle w:val="8"/>
      </w:pPr>
    </w:p>
    <w:p w14:paraId="7D517253">
      <w:pPr>
        <w:pStyle w:val="6"/>
      </w:pPr>
    </w:p>
    <w:p w14:paraId="2CFD1AC0"/>
    <w:p w14:paraId="27B66270">
      <w:pPr>
        <w:pStyle w:val="12"/>
      </w:pPr>
    </w:p>
    <w:p w14:paraId="530DF6A8">
      <w:pPr>
        <w:pStyle w:val="8"/>
      </w:pPr>
    </w:p>
    <w:p w14:paraId="6776AB8E">
      <w:pPr>
        <w:pStyle w:val="6"/>
      </w:pPr>
    </w:p>
    <w:p w14:paraId="27501570"/>
    <w:p w14:paraId="2A141A91">
      <w:pPr>
        <w:pStyle w:val="12"/>
      </w:pPr>
    </w:p>
    <w:p w14:paraId="6C339F4E">
      <w:pPr>
        <w:pStyle w:val="8"/>
      </w:pPr>
    </w:p>
    <w:p w14:paraId="7E389EF9">
      <w:pPr>
        <w:pStyle w:val="6"/>
      </w:pPr>
    </w:p>
    <w:p w14:paraId="3A255746"/>
    <w:p w14:paraId="5CA6B76C">
      <w:pPr>
        <w:pStyle w:val="12"/>
      </w:pPr>
    </w:p>
    <w:p w14:paraId="1F76D1DE">
      <w:pPr>
        <w:pStyle w:val="8"/>
      </w:pPr>
    </w:p>
    <w:p w14:paraId="295B7A7E">
      <w:pPr>
        <w:pStyle w:val="6"/>
      </w:pPr>
    </w:p>
    <w:p w14:paraId="34DBA9A7"/>
    <w:p w14:paraId="05B951D2">
      <w:pPr>
        <w:pStyle w:val="12"/>
      </w:pPr>
    </w:p>
    <w:p w14:paraId="5429974A">
      <w:pPr>
        <w:pStyle w:val="8"/>
      </w:pPr>
    </w:p>
    <w:p w14:paraId="771ABA9F">
      <w:pPr>
        <w:pStyle w:val="6"/>
      </w:pPr>
    </w:p>
    <w:p w14:paraId="4ADD89FA"/>
    <w:p w14:paraId="1F1B09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</w:p>
    <w:p w14:paraId="0D3E95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</w:p>
    <w:p w14:paraId="53C92A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</w:p>
    <w:p w14:paraId="13C08A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</w:p>
    <w:p w14:paraId="0CBB05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</w:p>
    <w:p w14:paraId="09500B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</w:p>
    <w:p w14:paraId="6BEC09A8">
      <w:pPr>
        <w:pStyle w:val="2"/>
        <w:rPr>
          <w:rFonts w:hint="eastAsia" w:ascii="黑体" w:hAnsi="黑体" w:eastAsia="黑体" w:cs="黑体"/>
          <w:sz w:val="32"/>
          <w:szCs w:val="32"/>
          <w:u w:val="none"/>
        </w:rPr>
      </w:pPr>
    </w:p>
    <w:p w14:paraId="485B9225">
      <w:pPr>
        <w:pStyle w:val="2"/>
        <w:rPr>
          <w:rFonts w:hint="eastAsia" w:ascii="黑体" w:hAnsi="黑体" w:eastAsia="黑体" w:cs="黑体"/>
          <w:sz w:val="32"/>
          <w:szCs w:val="32"/>
          <w:u w:val="none"/>
        </w:rPr>
      </w:pPr>
      <w:bookmarkStart w:id="0" w:name="_GoBack"/>
      <w:bookmarkEnd w:id="0"/>
    </w:p>
    <w:p w14:paraId="782E59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附表</w:t>
      </w:r>
    </w:p>
    <w:p w14:paraId="6A05A3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ascii="黑体" w:hAnsi="黑体" w:eastAsia="黑体" w:cs="黑体"/>
          <w:sz w:val="32"/>
          <w:szCs w:val="32"/>
          <w:u w:val="none"/>
        </w:rPr>
      </w:pPr>
    </w:p>
    <w:p w14:paraId="657541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广西新型研发机构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eastAsia="zh-CN"/>
        </w:rPr>
        <w:t>绩效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val="en-US" w:eastAsia="zh-CN"/>
        </w:rPr>
        <w:t>评估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指标体系</w:t>
      </w:r>
    </w:p>
    <w:p w14:paraId="06CFD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  <w:u w:val="none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2205"/>
        <w:gridCol w:w="4879"/>
      </w:tblGrid>
      <w:tr w14:paraId="065A2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624" w:hRule="atLeast"/>
          <w:tblHeader/>
          <w:jc w:val="center"/>
        </w:trPr>
        <w:tc>
          <w:tcPr>
            <w:tcW w:w="3995" w:type="dxa"/>
            <w:gridSpan w:val="2"/>
            <w:noWrap w:val="0"/>
            <w:vAlign w:val="center"/>
          </w:tcPr>
          <w:p w14:paraId="28419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黑体" w:hAnsi="黑体" w:eastAsia="黑体" w:cs="仿宋_GB2312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  <w:u w:val="none"/>
              </w:rPr>
              <w:t>评价指标</w:t>
            </w:r>
          </w:p>
        </w:tc>
        <w:tc>
          <w:tcPr>
            <w:tcW w:w="4879" w:type="dxa"/>
            <w:vMerge w:val="restart"/>
            <w:noWrap w:val="0"/>
            <w:vAlign w:val="center"/>
          </w:tcPr>
          <w:p w14:paraId="6A0A9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黑体" w:hAnsi="黑体" w:eastAsia="黑体" w:cs="仿宋_GB2312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  <w:u w:val="none"/>
              </w:rPr>
              <w:t>评价内容</w:t>
            </w:r>
          </w:p>
        </w:tc>
      </w:tr>
      <w:tr w14:paraId="42F37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624" w:hRule="atLeast"/>
          <w:tblHeader/>
          <w:jc w:val="center"/>
        </w:trPr>
        <w:tc>
          <w:tcPr>
            <w:tcW w:w="1790" w:type="dxa"/>
            <w:noWrap w:val="0"/>
            <w:vAlign w:val="center"/>
          </w:tcPr>
          <w:p w14:paraId="692A2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黑体" w:hAnsi="黑体" w:eastAsia="黑体" w:cs="仿宋_GB2312"/>
                <w:bCs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  <w:u w:val="none"/>
              </w:rPr>
              <w:t>一级指标</w:t>
            </w:r>
          </w:p>
        </w:tc>
        <w:tc>
          <w:tcPr>
            <w:tcW w:w="2205" w:type="dxa"/>
            <w:noWrap w:val="0"/>
            <w:vAlign w:val="center"/>
          </w:tcPr>
          <w:p w14:paraId="2089E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黑体" w:hAnsi="黑体" w:eastAsia="黑体" w:cs="仿宋_GB2312"/>
                <w:bCs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  <w:u w:val="none"/>
              </w:rPr>
              <w:t>二级指标</w:t>
            </w:r>
          </w:p>
        </w:tc>
        <w:tc>
          <w:tcPr>
            <w:tcW w:w="4879" w:type="dxa"/>
            <w:vMerge w:val="continue"/>
            <w:noWrap w:val="0"/>
            <w:vAlign w:val="center"/>
          </w:tcPr>
          <w:p w14:paraId="5803C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</w:p>
        </w:tc>
      </w:tr>
      <w:tr w14:paraId="6992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624" w:hRule="atLeast"/>
          <w:jc w:val="center"/>
        </w:trPr>
        <w:tc>
          <w:tcPr>
            <w:tcW w:w="1790" w:type="dxa"/>
            <w:vMerge w:val="restart"/>
            <w:noWrap w:val="0"/>
            <w:vAlign w:val="center"/>
          </w:tcPr>
          <w:p w14:paraId="68F34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工作基础</w:t>
            </w:r>
          </w:p>
          <w:p w14:paraId="65515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和条件</w:t>
            </w:r>
          </w:p>
        </w:tc>
        <w:tc>
          <w:tcPr>
            <w:tcW w:w="2205" w:type="dxa"/>
            <w:noWrap w:val="0"/>
            <w:vAlign w:val="center"/>
          </w:tcPr>
          <w:p w14:paraId="1882E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主体</w:t>
            </w:r>
          </w:p>
        </w:tc>
        <w:tc>
          <w:tcPr>
            <w:tcW w:w="4879" w:type="dxa"/>
            <w:noWrap w:val="0"/>
            <w:vAlign w:val="center"/>
          </w:tcPr>
          <w:p w14:paraId="22608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主体多元化情况。包括设立产业投资基金，开展产学研协同创新，财务情况等。</w:t>
            </w:r>
          </w:p>
        </w:tc>
      </w:tr>
      <w:tr w14:paraId="3587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 w14:paraId="5F683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7B5E7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研发投入</w:t>
            </w:r>
          </w:p>
        </w:tc>
        <w:tc>
          <w:tcPr>
            <w:tcW w:w="4879" w:type="dxa"/>
            <w:noWrap w:val="0"/>
            <w:vAlign w:val="center"/>
          </w:tcPr>
          <w:p w14:paraId="76718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研发经费投入、研发经费投入占收入比重情况。</w:t>
            </w:r>
          </w:p>
        </w:tc>
      </w:tr>
      <w:tr w14:paraId="0023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 w14:paraId="05424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6ADC6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创新能力</w:t>
            </w:r>
          </w:p>
        </w:tc>
        <w:tc>
          <w:tcPr>
            <w:tcW w:w="4879" w:type="dxa"/>
            <w:noWrap w:val="0"/>
            <w:vAlign w:val="center"/>
          </w:tcPr>
          <w:p w14:paraId="7173A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申报单位的研发项目情况，包括承担政府和企业科技计划项目、自主立项研发项目、合作及委托研发项目等。</w:t>
            </w:r>
          </w:p>
        </w:tc>
      </w:tr>
      <w:tr w14:paraId="40709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 w14:paraId="00874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6426E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研发条件</w:t>
            </w:r>
          </w:p>
        </w:tc>
        <w:tc>
          <w:tcPr>
            <w:tcW w:w="4879" w:type="dxa"/>
            <w:noWrap w:val="0"/>
            <w:vAlign w:val="center"/>
          </w:tcPr>
          <w:p w14:paraId="61657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申报单位具备开展研究、开发和试验所需要的科研仪器、设备、软件和固定场所等情况。</w:t>
            </w:r>
          </w:p>
        </w:tc>
      </w:tr>
      <w:tr w14:paraId="46779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 w14:paraId="2EDD8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72987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人才队伍</w:t>
            </w:r>
          </w:p>
        </w:tc>
        <w:tc>
          <w:tcPr>
            <w:tcW w:w="4879" w:type="dxa"/>
            <w:noWrap w:val="0"/>
            <w:vAlign w:val="center"/>
          </w:tcPr>
          <w:p w14:paraId="73001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技术（学术）带头人及研究团队的数量、结构等情况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，合作基础，核心成员研究水平及在相关领域的优势。</w:t>
            </w:r>
          </w:p>
        </w:tc>
      </w:tr>
      <w:tr w14:paraId="45FCA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624" w:hRule="atLeast"/>
          <w:jc w:val="center"/>
        </w:trPr>
        <w:tc>
          <w:tcPr>
            <w:tcW w:w="1790" w:type="dxa"/>
            <w:vMerge w:val="restart"/>
            <w:noWrap w:val="0"/>
            <w:vAlign w:val="center"/>
          </w:tcPr>
          <w:p w14:paraId="09847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发展战略及研究方向</w:t>
            </w:r>
          </w:p>
        </w:tc>
        <w:tc>
          <w:tcPr>
            <w:tcW w:w="2205" w:type="dxa"/>
            <w:noWrap w:val="0"/>
            <w:vAlign w:val="center"/>
          </w:tcPr>
          <w:p w14:paraId="606AB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依托（服务）的产业背景</w:t>
            </w:r>
          </w:p>
        </w:tc>
        <w:tc>
          <w:tcPr>
            <w:tcW w:w="4879" w:type="dxa"/>
            <w:noWrap w:val="0"/>
            <w:vAlign w:val="center"/>
          </w:tcPr>
          <w:p w14:paraId="0B74C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产业在广西发展的基础和能力以及对技术创新的需求程度。</w:t>
            </w:r>
          </w:p>
        </w:tc>
      </w:tr>
      <w:tr w14:paraId="28067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 w14:paraId="5F4F5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2F9C1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预期对产业的支撑水平</w:t>
            </w:r>
          </w:p>
        </w:tc>
        <w:tc>
          <w:tcPr>
            <w:tcW w:w="4879" w:type="dxa"/>
            <w:noWrap w:val="0"/>
            <w:vAlign w:val="center"/>
          </w:tcPr>
          <w:p w14:paraId="78296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评价机构对该产业发展基础、能力和技术创新的支撑水平。</w:t>
            </w:r>
          </w:p>
        </w:tc>
      </w:tr>
      <w:tr w14:paraId="51DF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790" w:type="dxa"/>
            <w:vMerge w:val="restart"/>
            <w:noWrap w:val="0"/>
            <w:vAlign w:val="center"/>
          </w:tcPr>
          <w:p w14:paraId="0E337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管理体制</w:t>
            </w:r>
          </w:p>
          <w:p w14:paraId="1ED72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机制</w:t>
            </w:r>
          </w:p>
        </w:tc>
        <w:tc>
          <w:tcPr>
            <w:tcW w:w="2205" w:type="dxa"/>
            <w:noWrap w:val="0"/>
            <w:vAlign w:val="center"/>
          </w:tcPr>
          <w:p w14:paraId="1BD17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企业化科研管理体制</w:t>
            </w:r>
          </w:p>
        </w:tc>
        <w:tc>
          <w:tcPr>
            <w:tcW w:w="4879" w:type="dxa"/>
            <w:noWrap w:val="0"/>
            <w:vAlign w:val="center"/>
          </w:tcPr>
          <w:p w14:paraId="43A0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建立企业化科研管理体制与执行情况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 w14:paraId="3178B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624" w:hRule="atLeast"/>
          <w:jc w:val="center"/>
        </w:trPr>
        <w:tc>
          <w:tcPr>
            <w:tcW w:w="1790" w:type="dxa"/>
            <w:vMerge w:val="restart"/>
            <w:noWrap w:val="0"/>
            <w:vAlign w:val="center"/>
          </w:tcPr>
          <w:p w14:paraId="1B81E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764F5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市场化的人员激励机制</w:t>
            </w:r>
          </w:p>
        </w:tc>
        <w:tc>
          <w:tcPr>
            <w:tcW w:w="4879" w:type="dxa"/>
            <w:noWrap w:val="0"/>
            <w:vAlign w:val="center"/>
          </w:tcPr>
          <w:p w14:paraId="30F39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建立市场化人员激励机制与执行情况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 w14:paraId="3AD8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 w14:paraId="53DB5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669B6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高效的创新组织模式</w:t>
            </w:r>
          </w:p>
        </w:tc>
        <w:tc>
          <w:tcPr>
            <w:tcW w:w="4879" w:type="dxa"/>
            <w:noWrap w:val="0"/>
            <w:vAlign w:val="center"/>
          </w:tcPr>
          <w:p w14:paraId="0D2E1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建立高效创新组织模式与执行情况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 w14:paraId="3E7A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 w14:paraId="42815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33A97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灵活的成果</w:t>
            </w:r>
          </w:p>
          <w:p w14:paraId="726AF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转化机制</w:t>
            </w:r>
          </w:p>
        </w:tc>
        <w:tc>
          <w:tcPr>
            <w:tcW w:w="4879" w:type="dxa"/>
            <w:noWrap w:val="0"/>
            <w:vAlign w:val="center"/>
          </w:tcPr>
          <w:p w14:paraId="7D325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建立成果转化机制与执行情况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 w14:paraId="6AA7B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 w14:paraId="7E584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2D131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规范的财务</w:t>
            </w:r>
          </w:p>
          <w:p w14:paraId="2544F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制度</w:t>
            </w:r>
          </w:p>
        </w:tc>
        <w:tc>
          <w:tcPr>
            <w:tcW w:w="4879" w:type="dxa"/>
            <w:noWrap w:val="0"/>
            <w:vAlign w:val="center"/>
          </w:tcPr>
          <w:p w14:paraId="1F584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建立规范化财务制度与执行情况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 w14:paraId="5E1F8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624" w:hRule="atLeast"/>
          <w:jc w:val="center"/>
        </w:trPr>
        <w:tc>
          <w:tcPr>
            <w:tcW w:w="1790" w:type="dxa"/>
            <w:vMerge w:val="restart"/>
            <w:noWrap w:val="0"/>
            <w:vAlign w:val="center"/>
          </w:tcPr>
          <w:p w14:paraId="41658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创新效益</w:t>
            </w:r>
          </w:p>
        </w:tc>
        <w:tc>
          <w:tcPr>
            <w:tcW w:w="2205" w:type="dxa"/>
            <w:noWrap w:val="0"/>
            <w:vAlign w:val="center"/>
          </w:tcPr>
          <w:p w14:paraId="0D4DD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创新产出</w:t>
            </w:r>
          </w:p>
        </w:tc>
        <w:tc>
          <w:tcPr>
            <w:tcW w:w="4879" w:type="dxa"/>
            <w:noWrap w:val="0"/>
            <w:vAlign w:val="center"/>
          </w:tcPr>
          <w:p w14:paraId="2048E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创新成果产出情况，包括新产品、新专利、新标准、科技成果登记等情况。</w:t>
            </w:r>
          </w:p>
        </w:tc>
      </w:tr>
      <w:tr w14:paraId="1C04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 w14:paraId="38570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5A376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社会效益</w:t>
            </w:r>
          </w:p>
        </w:tc>
        <w:tc>
          <w:tcPr>
            <w:tcW w:w="4879" w:type="dxa"/>
            <w:noWrap w:val="0"/>
            <w:vAlign w:val="center"/>
          </w:tcPr>
          <w:p w14:paraId="3AA41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服务、创办、孵化企业情况，创办孵化科技企业估值；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创办、孵化企业的税收贡献情况；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新引进高层次人才和创新团队情况、人才培养情况；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  <w:t>对区域产业发展的促进作用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。</w:t>
            </w:r>
          </w:p>
        </w:tc>
      </w:tr>
      <w:tr w14:paraId="4717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 w14:paraId="26E79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30B71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经济效益</w:t>
            </w:r>
          </w:p>
        </w:tc>
        <w:tc>
          <w:tcPr>
            <w:tcW w:w="4879" w:type="dxa"/>
            <w:noWrap w:val="0"/>
            <w:vAlign w:val="center"/>
          </w:tcPr>
          <w:p w14:paraId="21A67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收入情况，包括研发服务（科学研究、技术研发、成果转化、产业孵化等）收入等情况；获得各种产业投资资（基）金情况；促成技术交易情况。</w:t>
            </w:r>
          </w:p>
        </w:tc>
      </w:tr>
      <w:tr w14:paraId="148A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624" w:hRule="atLeast"/>
          <w:jc w:val="center"/>
        </w:trPr>
        <w:tc>
          <w:tcPr>
            <w:tcW w:w="1790" w:type="dxa"/>
            <w:vMerge w:val="restart"/>
            <w:noWrap w:val="0"/>
            <w:vAlign w:val="center"/>
          </w:tcPr>
          <w:p w14:paraId="38F74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  <w:t>开放协同</w:t>
            </w:r>
          </w:p>
        </w:tc>
        <w:tc>
          <w:tcPr>
            <w:tcW w:w="2205" w:type="dxa"/>
            <w:noWrap w:val="0"/>
            <w:vAlign w:val="center"/>
          </w:tcPr>
          <w:p w14:paraId="4210B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  <w:t>协同发展能力</w:t>
            </w:r>
          </w:p>
        </w:tc>
        <w:tc>
          <w:tcPr>
            <w:tcW w:w="4879" w:type="dxa"/>
            <w:noWrap w:val="0"/>
            <w:vAlign w:val="center"/>
          </w:tcPr>
          <w:p w14:paraId="65E8D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国际交流情况、与研发机构、国内外知名企业、专业服务机构合作情况、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  <w:t>与地方产业集群互动情况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  <w:t>。</w:t>
            </w:r>
          </w:p>
        </w:tc>
      </w:tr>
      <w:tr w14:paraId="1F0B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" w:type="dxa"/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 w14:paraId="417A1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6E81F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社会认知程度</w:t>
            </w:r>
          </w:p>
        </w:tc>
        <w:tc>
          <w:tcPr>
            <w:tcW w:w="4879" w:type="dxa"/>
            <w:noWrap w:val="0"/>
            <w:vAlign w:val="center"/>
          </w:tcPr>
          <w:p w14:paraId="11437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  <w:t>区域或行业的认知度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  <w:t>举办（参与）重大创新活动情况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  <w:t>。</w:t>
            </w:r>
          </w:p>
        </w:tc>
      </w:tr>
    </w:tbl>
    <w:p w14:paraId="4304C730"/>
    <w:p w14:paraId="2A6D40FA">
      <w:pPr>
        <w:pStyle w:val="2"/>
      </w:pPr>
    </w:p>
    <w:p w14:paraId="3D22D5AB">
      <w:pPr>
        <w:pStyle w:val="2"/>
      </w:pPr>
    </w:p>
    <w:p w14:paraId="697983ED">
      <w:pPr>
        <w:pStyle w:val="2"/>
      </w:pPr>
    </w:p>
    <w:p w14:paraId="3A4018C1">
      <w:pPr>
        <w:pStyle w:val="2"/>
        <w:ind w:firstLine="593" w:firstLineChars="0"/>
        <w:rPr>
          <w:rFonts w:hint="eastAsia" w:eastAsia="宋体"/>
          <w:lang w:eastAsia="zh-CN"/>
        </w:rPr>
      </w:pPr>
    </w:p>
    <w:p w14:paraId="46598572">
      <w:pPr>
        <w:pStyle w:val="2"/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C5AA6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noWrap w:val="0"/>
            <w:vAlign w:val="center"/>
          </w:tcPr>
          <w:p w14:paraId="155D9575">
            <w:pPr>
              <w:spacing w:line="360" w:lineRule="exact"/>
              <w:ind w:left="210" w:leftChars="100" w:right="210" w:rightChars="10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</w:rPr>
              <w:t xml:space="preserve">广西壮族自治区科学技术厅办公室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8"/>
                <w:lang w:val="en"/>
              </w:rPr>
              <w:t>2024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日印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发</w:t>
            </w:r>
          </w:p>
        </w:tc>
      </w:tr>
    </w:tbl>
    <w:p w14:paraId="624C4A29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4379494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3891280</wp:posOffset>
            </wp:positionH>
            <wp:positionV relativeFrom="paragraph">
              <wp:posOffset>14605</wp:posOffset>
            </wp:positionV>
            <wp:extent cx="1790700" cy="476250"/>
            <wp:effectExtent l="0" t="0" r="0" b="0"/>
            <wp:wrapTight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ight>
            <wp:docPr id="1" name="图片 3" descr="公文二维码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公文二维码 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footerReference r:id="rId4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swiss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0C286">
    <w:pPr>
      <w:pStyle w:val="8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86BDF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9gLqy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B86BDF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62C26">
    <w:pPr>
      <w:pStyle w:val="8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23D4E">
                          <w:pPr>
                            <w:pStyle w:val="8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+X++94BAAC+AwAADgAAAGRycy9lMm9Eb2MueG1srVPBjtMwEL0j8Q+W&#10;7zTZCkE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cMycsDfz84/v55+/zr2/s&#10;Z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n5f77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623D4E">
                    <w:pPr>
                      <w:pStyle w:val="8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0F20D97"/>
    <w:rsid w:val="16BA4105"/>
    <w:rsid w:val="1FFB6BB7"/>
    <w:rsid w:val="26BC7BDE"/>
    <w:rsid w:val="340571CD"/>
    <w:rsid w:val="3D580050"/>
    <w:rsid w:val="55625F0C"/>
    <w:rsid w:val="579C6348"/>
    <w:rsid w:val="5809477E"/>
    <w:rsid w:val="5AF35FEF"/>
    <w:rsid w:val="5CC44C22"/>
    <w:rsid w:val="5F2A78FD"/>
    <w:rsid w:val="63AA6AC3"/>
    <w:rsid w:val="642971E3"/>
    <w:rsid w:val="66C9548A"/>
    <w:rsid w:val="75477E01"/>
    <w:rsid w:val="7FF1FB88"/>
    <w:rsid w:val="BC8EA536"/>
    <w:rsid w:val="BEFFCE19"/>
    <w:rsid w:val="DE5F22D3"/>
    <w:rsid w:val="F3EF52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widowControl/>
      <w:spacing w:line="590" w:lineRule="exact"/>
      <w:jc w:val="center"/>
      <w:outlineLvl w:val="0"/>
    </w:pPr>
    <w:rPr>
      <w:rFonts w:ascii="Cambria" w:hAnsi="Cambria" w:eastAsia="方正黑体_GBK" w:cs="宋体"/>
      <w:kern w:val="0"/>
      <w:sz w:val="32"/>
      <w:szCs w:val="32"/>
    </w:rPr>
  </w:style>
  <w:style w:type="paragraph" w:styleId="6">
    <w:name w:val="Date"/>
    <w:basedOn w:val="1"/>
    <w:next w:val="1"/>
    <w:unhideWhenUsed/>
    <w:qFormat/>
    <w:uiPriority w:val="0"/>
    <w:pPr>
      <w:ind w:left="100" w:leftChars="2500"/>
    </w:pPr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next w:val="6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Body Text First Indent"/>
    <w:basedOn w:val="4"/>
    <w:next w:val="8"/>
    <w:qFormat/>
    <w:uiPriority w:val="0"/>
    <w:pPr>
      <w:ind w:firstLine="420" w:firstLineChars="100"/>
    </w:pPr>
    <w:rPr>
      <w:rFonts w:ascii="Times New Roman" w:hAnsi="Times New Roman"/>
    </w:rPr>
  </w:style>
  <w:style w:type="table" w:styleId="14">
    <w:name w:val="Table Grid"/>
    <w:basedOn w:val="13"/>
    <w:qFormat/>
    <w:uiPriority w:val="59"/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批注框文本 Char"/>
    <w:basedOn w:val="15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5"/>
    <w:link w:val="8"/>
    <w:qFormat/>
    <w:uiPriority w:val="99"/>
    <w:rPr>
      <w:kern w:val="2"/>
      <w:sz w:val="18"/>
      <w:szCs w:val="18"/>
    </w:rPr>
  </w:style>
  <w:style w:type="character" w:customStyle="1" w:styleId="18">
    <w:name w:val="页眉 Char"/>
    <w:basedOn w:val="15"/>
    <w:link w:val="9"/>
    <w:qFormat/>
    <w:uiPriority w:val="99"/>
    <w:rPr>
      <w:kern w:val="2"/>
      <w:sz w:val="18"/>
      <w:szCs w:val="18"/>
    </w:rPr>
  </w:style>
  <w:style w:type="paragraph" w:customStyle="1" w:styleId="19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14</Pages>
  <Words>124</Words>
  <Characters>131</Characters>
  <Lines>1</Lines>
  <Paragraphs>1</Paragraphs>
  <TotalTime>21.6666666666667</TotalTime>
  <ScaleCrop>false</ScaleCrop>
  <LinksUpToDate>false</LinksUpToDate>
  <CharactersWithSpaces>167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2020-03-13T08:33:00Z</dcterms:created>
  <dc:creator>梁晖</dc:creator>
  <cp:lastModifiedBy>墨迹夏子</cp:lastModifiedBy>
  <cp:lastPrinted>2020-06-03T10:53:00Z</cp:lastPrinted>
  <dcterms:modified xsi:type="dcterms:W3CDTF">2024-11-13T01:11:13Z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71E63EE9998F4E73A8CB360CBAE9E269_13</vt:lpwstr>
  </property>
</Properties>
</file>