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0CEC6">
      <w:pPr>
        <w:jc w:val="both"/>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附件1：</w:t>
      </w:r>
    </w:p>
    <w:p w14:paraId="282C16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sz w:val="44"/>
          <w:szCs w:val="44"/>
          <w:lang w:val="en-US" w:eastAsia="zh-CN"/>
        </w:rPr>
      </w:pPr>
    </w:p>
    <w:p w14:paraId="011CF5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sz w:val="44"/>
          <w:szCs w:val="44"/>
          <w:lang w:val="en-US" w:eastAsia="zh-CN"/>
        </w:rPr>
      </w:pPr>
      <w:r>
        <w:rPr>
          <w:rFonts w:hint="eastAsia" w:asciiTheme="minorEastAsia" w:hAnsiTheme="minorEastAsia" w:eastAsiaTheme="minorEastAsia" w:cstheme="minorEastAsia"/>
          <w:b/>
          <w:sz w:val="44"/>
          <w:szCs w:val="44"/>
          <w:lang w:val="en-US" w:eastAsia="zh-CN"/>
        </w:rPr>
        <w:t>2024年“智赋柳企”中小企业素质提升系列行动——生产质量管理能力提升活动</w:t>
      </w:r>
    </w:p>
    <w:p w14:paraId="2E78CB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项目评分标准表</w:t>
      </w:r>
    </w:p>
    <w:tbl>
      <w:tblPr>
        <w:tblStyle w:val="6"/>
        <w:tblW w:w="10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851"/>
        <w:gridCol w:w="1081"/>
        <w:gridCol w:w="6961"/>
        <w:gridCol w:w="679"/>
      </w:tblGrid>
      <w:tr w14:paraId="030A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2" w:type="dxa"/>
            <w:vAlign w:val="center"/>
          </w:tcPr>
          <w:p w14:paraId="4933D1DC">
            <w:pPr>
              <w:spacing w:line="340" w:lineRule="exact"/>
              <w:jc w:val="center"/>
              <w:rPr>
                <w:rFonts w:hint="eastAsia" w:ascii="仿宋" w:hAnsi="仿宋" w:eastAsia="仿宋" w:cs="仿宋"/>
                <w:b/>
                <w:bCs/>
                <w:kern w:val="0"/>
                <w:sz w:val="21"/>
                <w:szCs w:val="21"/>
              </w:rPr>
            </w:pPr>
            <w:bookmarkStart w:id="0" w:name="_Hlk106449537"/>
            <w:r>
              <w:rPr>
                <w:rFonts w:hint="eastAsia" w:ascii="仿宋" w:hAnsi="仿宋" w:eastAsia="仿宋" w:cs="仿宋"/>
                <w:b/>
                <w:bCs/>
                <w:kern w:val="0"/>
                <w:sz w:val="21"/>
                <w:szCs w:val="21"/>
              </w:rPr>
              <w:t>序号</w:t>
            </w:r>
          </w:p>
        </w:tc>
        <w:tc>
          <w:tcPr>
            <w:tcW w:w="8893" w:type="dxa"/>
            <w:gridSpan w:val="3"/>
            <w:vAlign w:val="center"/>
          </w:tcPr>
          <w:p w14:paraId="5F688E25">
            <w:pPr>
              <w:spacing w:line="34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评分标准</w:t>
            </w:r>
          </w:p>
        </w:tc>
        <w:tc>
          <w:tcPr>
            <w:tcW w:w="679" w:type="dxa"/>
            <w:vAlign w:val="center"/>
          </w:tcPr>
          <w:p w14:paraId="331FAC9D">
            <w:pPr>
              <w:spacing w:line="34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评分</w:t>
            </w:r>
          </w:p>
        </w:tc>
      </w:tr>
      <w:tr w14:paraId="5ACF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jc w:val="center"/>
        </w:trPr>
        <w:tc>
          <w:tcPr>
            <w:tcW w:w="662" w:type="dxa"/>
            <w:vMerge w:val="restart"/>
            <w:vAlign w:val="center"/>
          </w:tcPr>
          <w:p w14:paraId="4BE2548B">
            <w:pPr>
              <w:spacing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851" w:type="dxa"/>
            <w:vMerge w:val="restart"/>
            <w:vAlign w:val="center"/>
          </w:tcPr>
          <w:p w14:paraId="2581CD14">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技术分（满分</w:t>
            </w:r>
            <w:r>
              <w:rPr>
                <w:rFonts w:hint="eastAsia" w:ascii="仿宋_GB2312" w:hAnsi="仿宋_GB2312" w:eastAsia="仿宋_GB2312" w:cs="仿宋_GB2312"/>
                <w:kern w:val="0"/>
                <w:sz w:val="21"/>
                <w:szCs w:val="21"/>
                <w:lang w:val="en-US" w:eastAsia="zh-CN"/>
              </w:rPr>
              <w:t>65</w:t>
            </w:r>
            <w:r>
              <w:rPr>
                <w:rFonts w:hint="eastAsia" w:ascii="仿宋_GB2312" w:hAnsi="仿宋_GB2312" w:eastAsia="仿宋_GB2312" w:cs="仿宋_GB2312"/>
                <w:kern w:val="0"/>
                <w:sz w:val="21"/>
                <w:szCs w:val="21"/>
              </w:rPr>
              <w:t>分）</w:t>
            </w:r>
          </w:p>
        </w:tc>
        <w:tc>
          <w:tcPr>
            <w:tcW w:w="1081" w:type="dxa"/>
            <w:vAlign w:val="center"/>
          </w:tcPr>
          <w:p w14:paraId="2A8C7083">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（1）培训实施方案（满分2</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分）</w:t>
            </w:r>
          </w:p>
        </w:tc>
        <w:tc>
          <w:tcPr>
            <w:tcW w:w="6961" w:type="dxa"/>
            <w:vAlign w:val="center"/>
          </w:tcPr>
          <w:p w14:paraId="04C5E08E">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对各投标人的总体服务方案（包括但不限于需求中的目标定位、时间、地点、参加对象、内容设计、培训课程、培训方式、评价考核、专家团队等）进行评审。</w:t>
            </w:r>
          </w:p>
          <w:p w14:paraId="3FE91099">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7</w:t>
            </w:r>
            <w:r>
              <w:rPr>
                <w:rFonts w:hint="eastAsia" w:ascii="仿宋_GB2312" w:hAnsi="仿宋_GB2312" w:eastAsia="仿宋_GB2312" w:cs="仿宋_GB2312"/>
                <w:kern w:val="0"/>
                <w:sz w:val="21"/>
                <w:szCs w:val="21"/>
              </w:rPr>
              <w:t>分）：总体实施方案不尽合理，缺陷较多，不够清晰，培训场地、授课讲师、人员组织安排一般，授课及现场教学、培训流程、课程计划编制无特色。</w:t>
            </w:r>
          </w:p>
          <w:p w14:paraId="601D1C26">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15</w:t>
            </w:r>
            <w:r>
              <w:rPr>
                <w:rFonts w:hint="eastAsia" w:ascii="仿宋_GB2312" w:hAnsi="仿宋_GB2312" w:eastAsia="仿宋_GB2312" w:cs="仿宋_GB2312"/>
                <w:kern w:val="0"/>
                <w:sz w:val="21"/>
                <w:szCs w:val="21"/>
              </w:rPr>
              <w:t>分）：总体实施方案比较合理清晰系统，可操作性较强，培训场地、授课讲师、人员组织安排合理，授课及现场教学、培训流程、课程计划编制比较合理，具有一定特色。</w:t>
            </w:r>
          </w:p>
          <w:p w14:paraId="06C4425B">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23</w:t>
            </w:r>
            <w:r>
              <w:rPr>
                <w:rFonts w:hint="eastAsia" w:ascii="仿宋_GB2312" w:hAnsi="仿宋_GB2312" w:eastAsia="仿宋_GB2312" w:cs="仿宋_GB2312"/>
                <w:kern w:val="0"/>
                <w:sz w:val="21"/>
                <w:szCs w:val="21"/>
              </w:rPr>
              <w:t>分）：总体实施方案合理清晰系统，可操作性很强，培训场地、授课讲师、人员组织安排合理，授课及现场教学、培训流程、课程计划编制合理</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项目预算明细、</w:t>
            </w:r>
            <w:r>
              <w:rPr>
                <w:rFonts w:hint="eastAsia" w:ascii="仿宋_GB2312" w:hAnsi="仿宋_GB2312" w:eastAsia="仿宋_GB2312" w:cs="仿宋_GB2312"/>
                <w:kern w:val="0"/>
                <w:sz w:val="21"/>
                <w:szCs w:val="21"/>
              </w:rPr>
              <w:t>有亮点、有特色。</w:t>
            </w:r>
          </w:p>
        </w:tc>
        <w:tc>
          <w:tcPr>
            <w:tcW w:w="679" w:type="dxa"/>
          </w:tcPr>
          <w:p w14:paraId="2EFC2374">
            <w:pPr>
              <w:spacing w:line="340" w:lineRule="exact"/>
              <w:jc w:val="right"/>
              <w:rPr>
                <w:rFonts w:hint="eastAsia" w:ascii="仿宋" w:hAnsi="仿宋" w:eastAsia="仿宋" w:cs="仿宋"/>
                <w:kern w:val="0"/>
                <w:sz w:val="21"/>
                <w:szCs w:val="21"/>
              </w:rPr>
            </w:pPr>
          </w:p>
        </w:tc>
      </w:tr>
      <w:tr w14:paraId="17E7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jc w:val="center"/>
        </w:trPr>
        <w:tc>
          <w:tcPr>
            <w:tcW w:w="662" w:type="dxa"/>
            <w:vMerge w:val="continue"/>
            <w:vAlign w:val="center"/>
          </w:tcPr>
          <w:p w14:paraId="1BCBCD6C">
            <w:pPr>
              <w:spacing w:line="340" w:lineRule="exact"/>
              <w:jc w:val="center"/>
              <w:rPr>
                <w:rFonts w:hint="eastAsia" w:ascii="仿宋_GB2312" w:hAnsi="仿宋_GB2312" w:eastAsia="仿宋_GB2312" w:cs="仿宋_GB2312"/>
                <w:kern w:val="0"/>
                <w:sz w:val="21"/>
                <w:szCs w:val="21"/>
              </w:rPr>
            </w:pPr>
          </w:p>
        </w:tc>
        <w:tc>
          <w:tcPr>
            <w:tcW w:w="851" w:type="dxa"/>
            <w:vMerge w:val="continue"/>
            <w:vAlign w:val="center"/>
          </w:tcPr>
          <w:p w14:paraId="3FE48844">
            <w:pPr>
              <w:spacing w:line="340" w:lineRule="exact"/>
              <w:jc w:val="left"/>
              <w:rPr>
                <w:rFonts w:hint="eastAsia" w:ascii="仿宋_GB2312" w:hAnsi="仿宋_GB2312" w:eastAsia="仿宋_GB2312" w:cs="仿宋_GB2312"/>
                <w:kern w:val="0"/>
                <w:sz w:val="21"/>
                <w:szCs w:val="21"/>
              </w:rPr>
            </w:pPr>
          </w:p>
        </w:tc>
        <w:tc>
          <w:tcPr>
            <w:tcW w:w="1081" w:type="dxa"/>
            <w:vAlign w:val="center"/>
          </w:tcPr>
          <w:p w14:paraId="4B2BB860">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（2）团队服务及专人对接承诺（满分</w:t>
            </w:r>
            <w:r>
              <w:rPr>
                <w:rFonts w:hint="eastAsia" w:ascii="仿宋_GB2312" w:hAnsi="仿宋_GB2312" w:eastAsia="仿宋_GB2312" w:cs="仿宋_GB2312"/>
                <w:kern w:val="0"/>
                <w:sz w:val="21"/>
                <w:szCs w:val="21"/>
                <w:lang w:val="en-US" w:eastAsia="zh-CN"/>
              </w:rPr>
              <w:t>12</w:t>
            </w:r>
            <w:r>
              <w:rPr>
                <w:rFonts w:hint="eastAsia" w:ascii="仿宋_GB2312" w:hAnsi="仿宋_GB2312" w:eastAsia="仿宋_GB2312" w:cs="仿宋_GB2312"/>
                <w:kern w:val="0"/>
                <w:sz w:val="21"/>
                <w:szCs w:val="21"/>
              </w:rPr>
              <w:t>分）</w:t>
            </w:r>
          </w:p>
        </w:tc>
        <w:tc>
          <w:tcPr>
            <w:tcW w:w="6961" w:type="dxa"/>
            <w:vAlign w:val="center"/>
          </w:tcPr>
          <w:p w14:paraId="61B90ACE">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评委根据各供应商项目方案内容情况独立定档，并在相应档次内独立打分，不提供的为0分。</w:t>
            </w:r>
          </w:p>
          <w:p w14:paraId="5B252BB8">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分）负责本项目的服务团队组织架构不够健全，工作流程不清晰，无专人对接，且工作人员大于等于</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人少于</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人；</w:t>
            </w:r>
          </w:p>
          <w:p w14:paraId="12C67292">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分）负责本项目的服务团队组织架构较健全，工作流程较清晰，有专人对接，且工作人员大于等于</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人少于</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人；</w:t>
            </w:r>
          </w:p>
          <w:p w14:paraId="0F47B6B6">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12</w:t>
            </w:r>
            <w:r>
              <w:rPr>
                <w:rFonts w:hint="eastAsia" w:ascii="仿宋_GB2312" w:hAnsi="仿宋_GB2312" w:eastAsia="仿宋_GB2312" w:cs="仿宋_GB2312"/>
                <w:kern w:val="0"/>
                <w:sz w:val="21"/>
                <w:szCs w:val="21"/>
              </w:rPr>
              <w:t>分）负责本项目的服务团队组织架构较健全，工作流程较清晰，有专人对接，且工作人员大于等于</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人；</w:t>
            </w:r>
          </w:p>
          <w:p w14:paraId="70AB7BB7">
            <w:pPr>
              <w:spacing w:line="340" w:lineRule="exact"/>
              <w:rPr>
                <w:rFonts w:hint="eastAsia" w:ascii="仿宋_GB2312" w:hAnsi="仿宋_GB2312" w:eastAsia="仿宋_GB2312" w:cs="仿宋_GB2312"/>
                <w:kern w:val="0"/>
                <w:sz w:val="21"/>
                <w:szCs w:val="21"/>
              </w:rPr>
            </w:pPr>
            <w:bookmarkStart w:id="1" w:name="_GoBack"/>
            <w:r>
              <w:rPr>
                <w:rFonts w:hint="eastAsia" w:ascii="仿宋_GB2312" w:hAnsi="仿宋_GB2312" w:eastAsia="仿宋_GB2312" w:cs="仿宋_GB2312"/>
                <w:kern w:val="0"/>
                <w:sz w:val="21"/>
                <w:szCs w:val="21"/>
                <w:highlight w:val="none"/>
              </w:rPr>
              <w:t>以上要求供应商应提供投标截止日半年内任意连续三个月的社保缴纳证明。</w:t>
            </w:r>
            <w:bookmarkEnd w:id="1"/>
          </w:p>
        </w:tc>
        <w:tc>
          <w:tcPr>
            <w:tcW w:w="679" w:type="dxa"/>
          </w:tcPr>
          <w:p w14:paraId="340501E8">
            <w:pPr>
              <w:spacing w:line="340" w:lineRule="exact"/>
              <w:jc w:val="right"/>
              <w:rPr>
                <w:rFonts w:hint="eastAsia" w:ascii="仿宋" w:hAnsi="仿宋" w:eastAsia="仿宋" w:cs="仿宋"/>
                <w:kern w:val="0"/>
                <w:sz w:val="21"/>
                <w:szCs w:val="21"/>
              </w:rPr>
            </w:pPr>
          </w:p>
        </w:tc>
      </w:tr>
      <w:tr w14:paraId="2C42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662" w:type="dxa"/>
            <w:vMerge w:val="continue"/>
            <w:vAlign w:val="center"/>
          </w:tcPr>
          <w:p w14:paraId="0DF109BD">
            <w:pPr>
              <w:spacing w:line="340" w:lineRule="exact"/>
              <w:jc w:val="center"/>
              <w:rPr>
                <w:rFonts w:hint="eastAsia" w:ascii="仿宋_GB2312" w:hAnsi="仿宋_GB2312" w:eastAsia="仿宋_GB2312" w:cs="仿宋_GB2312"/>
                <w:kern w:val="0"/>
                <w:sz w:val="21"/>
                <w:szCs w:val="21"/>
              </w:rPr>
            </w:pPr>
          </w:p>
        </w:tc>
        <w:tc>
          <w:tcPr>
            <w:tcW w:w="851" w:type="dxa"/>
            <w:vMerge w:val="continue"/>
            <w:vAlign w:val="center"/>
          </w:tcPr>
          <w:p w14:paraId="335CA45F">
            <w:pPr>
              <w:spacing w:line="340" w:lineRule="exact"/>
              <w:jc w:val="left"/>
              <w:rPr>
                <w:rFonts w:hint="eastAsia" w:ascii="仿宋_GB2312" w:hAnsi="仿宋_GB2312" w:eastAsia="仿宋_GB2312" w:cs="仿宋_GB2312"/>
                <w:kern w:val="0"/>
                <w:sz w:val="21"/>
                <w:szCs w:val="21"/>
              </w:rPr>
            </w:pPr>
          </w:p>
        </w:tc>
        <w:tc>
          <w:tcPr>
            <w:tcW w:w="1081" w:type="dxa"/>
            <w:vAlign w:val="center"/>
          </w:tcPr>
          <w:p w14:paraId="75082D56">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（3）培训师资分（满分10分）</w:t>
            </w:r>
          </w:p>
        </w:tc>
        <w:tc>
          <w:tcPr>
            <w:tcW w:w="6961" w:type="dxa"/>
            <w:vAlign w:val="center"/>
          </w:tcPr>
          <w:p w14:paraId="0188BDAF">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评委根据各供应商项目方案内容情况独立定档，并在相应档次内独立打分。</w:t>
            </w:r>
          </w:p>
          <w:p w14:paraId="67D56AE9">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一档（4分）：项目配备师资团队不少于</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名，且能满足不同课程需求；</w:t>
            </w:r>
          </w:p>
          <w:p w14:paraId="4A41CE2D">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二档（6分）：项目配备师资团队不少于</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名，且能满足不同课程需求；</w:t>
            </w:r>
          </w:p>
          <w:p w14:paraId="2D231B94">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三档（10分）：项目配备师资团队不少于</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名，且能满足不同课程需求。</w:t>
            </w:r>
          </w:p>
          <w:p w14:paraId="0B5A5E16">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以上要求供应商提供师资简介。</w:t>
            </w:r>
          </w:p>
        </w:tc>
        <w:tc>
          <w:tcPr>
            <w:tcW w:w="679" w:type="dxa"/>
          </w:tcPr>
          <w:p w14:paraId="59FDBC26">
            <w:pPr>
              <w:spacing w:line="340" w:lineRule="exact"/>
              <w:jc w:val="right"/>
              <w:rPr>
                <w:rFonts w:hint="eastAsia" w:ascii="仿宋" w:hAnsi="仿宋" w:eastAsia="仿宋" w:cs="仿宋"/>
                <w:kern w:val="0"/>
                <w:sz w:val="21"/>
                <w:szCs w:val="21"/>
              </w:rPr>
            </w:pPr>
          </w:p>
        </w:tc>
      </w:tr>
      <w:tr w14:paraId="1D99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662" w:type="dxa"/>
            <w:vMerge w:val="continue"/>
            <w:vAlign w:val="center"/>
          </w:tcPr>
          <w:p w14:paraId="0E53A1C5">
            <w:pPr>
              <w:spacing w:line="340" w:lineRule="exact"/>
              <w:jc w:val="center"/>
              <w:rPr>
                <w:rFonts w:hint="eastAsia" w:ascii="仿宋_GB2312" w:hAnsi="仿宋_GB2312" w:eastAsia="仿宋_GB2312" w:cs="仿宋_GB2312"/>
                <w:kern w:val="0"/>
                <w:sz w:val="21"/>
                <w:szCs w:val="21"/>
              </w:rPr>
            </w:pPr>
          </w:p>
        </w:tc>
        <w:tc>
          <w:tcPr>
            <w:tcW w:w="851" w:type="dxa"/>
            <w:vMerge w:val="continue"/>
            <w:vAlign w:val="center"/>
          </w:tcPr>
          <w:p w14:paraId="6F0B564F">
            <w:pPr>
              <w:spacing w:line="340" w:lineRule="exact"/>
              <w:jc w:val="left"/>
              <w:rPr>
                <w:rFonts w:hint="eastAsia" w:ascii="仿宋_GB2312" w:hAnsi="仿宋_GB2312" w:eastAsia="仿宋_GB2312" w:cs="仿宋_GB2312"/>
                <w:kern w:val="0"/>
                <w:sz w:val="21"/>
                <w:szCs w:val="21"/>
              </w:rPr>
            </w:pPr>
          </w:p>
        </w:tc>
        <w:tc>
          <w:tcPr>
            <w:tcW w:w="1081" w:type="dxa"/>
            <w:vAlign w:val="center"/>
          </w:tcPr>
          <w:p w14:paraId="30AA1D3A">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（4）保障措施与应急预案（满分</w:t>
            </w:r>
            <w:r>
              <w:rPr>
                <w:rFonts w:hint="eastAsia" w:ascii="仿宋_GB2312" w:hAnsi="仿宋_GB2312" w:eastAsia="仿宋_GB2312" w:cs="仿宋_GB2312"/>
                <w:kern w:val="0"/>
                <w:sz w:val="21"/>
                <w:szCs w:val="21"/>
                <w:lang w:val="en-US" w:eastAsia="zh-CN"/>
              </w:rPr>
              <w:t>12</w:t>
            </w:r>
            <w:r>
              <w:rPr>
                <w:rFonts w:hint="eastAsia" w:ascii="仿宋_GB2312" w:hAnsi="仿宋_GB2312" w:eastAsia="仿宋_GB2312" w:cs="仿宋_GB2312"/>
                <w:kern w:val="0"/>
                <w:sz w:val="21"/>
                <w:szCs w:val="21"/>
              </w:rPr>
              <w:t>分）</w:t>
            </w:r>
          </w:p>
        </w:tc>
        <w:tc>
          <w:tcPr>
            <w:tcW w:w="6961" w:type="dxa"/>
            <w:vAlign w:val="center"/>
          </w:tcPr>
          <w:p w14:paraId="49230406">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评委根据各供应商项目方案内容情况独立定档，并在相应档次内独立打分，不提供的为0分。</w:t>
            </w:r>
          </w:p>
          <w:p w14:paraId="7CF001A6">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分）培训服务质量保障不具体，安全管理措施、培训期间安全应急措施及应急防疫措施不能很好满足项目需求。</w:t>
            </w:r>
          </w:p>
          <w:p w14:paraId="0F913151">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二档（8分）培训服务质量保障具体但不完善，安全管理措施、培训期间安全应急措施及应急防疫措施较可行、较具体。</w:t>
            </w:r>
          </w:p>
          <w:p w14:paraId="0FED4DCF">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12</w:t>
            </w:r>
            <w:r>
              <w:rPr>
                <w:rFonts w:hint="eastAsia" w:ascii="仿宋_GB2312" w:hAnsi="仿宋_GB2312" w:eastAsia="仿宋_GB2312" w:cs="仿宋_GB2312"/>
                <w:kern w:val="0"/>
                <w:sz w:val="21"/>
                <w:szCs w:val="21"/>
              </w:rPr>
              <w:t>分）拥有具体完善的培训服务质量保障，安全管理措施、培训期间安全应急措施及应急防疫措施切实可行、具体有效。</w:t>
            </w:r>
          </w:p>
        </w:tc>
        <w:tc>
          <w:tcPr>
            <w:tcW w:w="679" w:type="dxa"/>
          </w:tcPr>
          <w:p w14:paraId="3608E6B1">
            <w:pPr>
              <w:spacing w:line="340" w:lineRule="exact"/>
              <w:jc w:val="right"/>
              <w:rPr>
                <w:rFonts w:hint="eastAsia" w:ascii="仿宋" w:hAnsi="仿宋" w:eastAsia="仿宋" w:cs="仿宋"/>
                <w:kern w:val="0"/>
                <w:sz w:val="21"/>
                <w:szCs w:val="21"/>
              </w:rPr>
            </w:pPr>
          </w:p>
        </w:tc>
      </w:tr>
      <w:tr w14:paraId="23C3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662" w:type="dxa"/>
            <w:vMerge w:val="continue"/>
            <w:vAlign w:val="center"/>
          </w:tcPr>
          <w:p w14:paraId="35AC407A">
            <w:pPr>
              <w:spacing w:line="340" w:lineRule="exact"/>
              <w:jc w:val="center"/>
              <w:rPr>
                <w:rFonts w:hint="eastAsia" w:ascii="仿宋_GB2312" w:hAnsi="仿宋_GB2312" w:eastAsia="仿宋_GB2312" w:cs="仿宋_GB2312"/>
                <w:kern w:val="0"/>
                <w:sz w:val="21"/>
                <w:szCs w:val="21"/>
              </w:rPr>
            </w:pPr>
          </w:p>
        </w:tc>
        <w:tc>
          <w:tcPr>
            <w:tcW w:w="851" w:type="dxa"/>
            <w:vMerge w:val="continue"/>
            <w:vAlign w:val="center"/>
          </w:tcPr>
          <w:p w14:paraId="25D55D8B">
            <w:pPr>
              <w:spacing w:line="340" w:lineRule="exact"/>
              <w:jc w:val="center"/>
              <w:rPr>
                <w:rFonts w:hint="eastAsia" w:ascii="仿宋_GB2312" w:hAnsi="仿宋_GB2312" w:eastAsia="仿宋_GB2312" w:cs="仿宋_GB2312"/>
                <w:kern w:val="0"/>
                <w:sz w:val="21"/>
                <w:szCs w:val="21"/>
              </w:rPr>
            </w:pPr>
          </w:p>
        </w:tc>
        <w:tc>
          <w:tcPr>
            <w:tcW w:w="1081" w:type="dxa"/>
            <w:vAlign w:val="center"/>
          </w:tcPr>
          <w:p w14:paraId="050F268B">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（5）服务需求响应时间承诺（满分</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分）</w:t>
            </w:r>
          </w:p>
        </w:tc>
        <w:tc>
          <w:tcPr>
            <w:tcW w:w="6961" w:type="dxa"/>
            <w:vAlign w:val="center"/>
          </w:tcPr>
          <w:p w14:paraId="3CF09DE5">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评委根据各供应商项目方案内容情况独立定档，并在相应档次内独立打分，不提供的为0分。</w:t>
            </w:r>
          </w:p>
          <w:p w14:paraId="6B59FCD5">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分）：服务对象提出现场培训服务需求，超过2小时响应并到达现场服务，并对相关问题提出有效解决方案和意见。</w:t>
            </w:r>
          </w:p>
          <w:p w14:paraId="482BB31F">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rPr>
              <w:t>分）：服务对象提出现场培训服务需求，2小时内响应并到达现场服务，并对相关问题提出有效解决方案和意见。</w:t>
            </w:r>
          </w:p>
          <w:p w14:paraId="75D19CD3">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分）：服务对象提出现场培训服务需求，1小时内能响应并到达现场服务，并对相关问题提出有效解决方案和意见</w:t>
            </w:r>
          </w:p>
        </w:tc>
        <w:tc>
          <w:tcPr>
            <w:tcW w:w="679" w:type="dxa"/>
          </w:tcPr>
          <w:p w14:paraId="18EE559F">
            <w:pPr>
              <w:spacing w:line="340" w:lineRule="exact"/>
              <w:jc w:val="right"/>
              <w:rPr>
                <w:rFonts w:hint="eastAsia" w:ascii="仿宋" w:hAnsi="仿宋" w:eastAsia="仿宋" w:cs="仿宋"/>
                <w:kern w:val="0"/>
                <w:sz w:val="21"/>
                <w:szCs w:val="21"/>
              </w:rPr>
            </w:pPr>
          </w:p>
        </w:tc>
      </w:tr>
      <w:tr w14:paraId="45A1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62" w:type="dxa"/>
            <w:vMerge w:val="restart"/>
            <w:vAlign w:val="center"/>
          </w:tcPr>
          <w:p w14:paraId="428371E0">
            <w:pPr>
              <w:spacing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851" w:type="dxa"/>
            <w:vMerge w:val="restart"/>
            <w:vAlign w:val="center"/>
          </w:tcPr>
          <w:p w14:paraId="42746958">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商务分（满分15分）</w:t>
            </w:r>
          </w:p>
        </w:tc>
        <w:tc>
          <w:tcPr>
            <w:tcW w:w="1081" w:type="dxa"/>
            <w:shd w:val="clear" w:color="auto" w:fill="auto"/>
            <w:vAlign w:val="center"/>
          </w:tcPr>
          <w:p w14:paraId="3D282869">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（6）后续跟踪服务分（满分6分）</w:t>
            </w:r>
          </w:p>
        </w:tc>
        <w:tc>
          <w:tcPr>
            <w:tcW w:w="6961" w:type="dxa"/>
            <w:shd w:val="clear" w:color="auto" w:fill="auto"/>
            <w:vAlign w:val="center"/>
          </w:tcPr>
          <w:p w14:paraId="25B920ED">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评委根据各供应商项目方案内容情况独立定档，并在相应档次内独立打分，不提供的为0分。</w:t>
            </w:r>
          </w:p>
          <w:p w14:paraId="5B050930">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一档（1分）：承诺项</w:t>
            </w:r>
            <w:r>
              <w:rPr>
                <w:rFonts w:hint="eastAsia" w:ascii="仿宋_GB2312" w:hAnsi="仿宋_GB2312" w:eastAsia="仿宋_GB2312" w:cs="仿宋_GB2312"/>
                <w:sz w:val="21"/>
                <w:szCs w:val="21"/>
              </w:rPr>
              <w:t>目结束后半年内持续提供相关内容的培训，</w:t>
            </w:r>
            <w:r>
              <w:rPr>
                <w:rFonts w:hint="eastAsia" w:ascii="仿宋_GB2312" w:hAnsi="仿宋_GB2312" w:eastAsia="仿宋_GB2312" w:cs="仿宋_GB2312"/>
                <w:kern w:val="0"/>
                <w:sz w:val="21"/>
                <w:szCs w:val="21"/>
              </w:rPr>
              <w:t>培训持续跟踪服务一般，不具有特色。</w:t>
            </w:r>
          </w:p>
          <w:p w14:paraId="6FBD1ED5">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二档（3分）：承诺项</w:t>
            </w:r>
            <w:r>
              <w:rPr>
                <w:rFonts w:hint="eastAsia" w:ascii="仿宋_GB2312" w:hAnsi="仿宋_GB2312" w:eastAsia="仿宋_GB2312" w:cs="仿宋_GB2312"/>
                <w:sz w:val="21"/>
                <w:szCs w:val="21"/>
              </w:rPr>
              <w:t>目结束后半年内持续提供相关内容的培训，</w:t>
            </w:r>
            <w:r>
              <w:rPr>
                <w:rFonts w:hint="eastAsia" w:ascii="仿宋_GB2312" w:hAnsi="仿宋_GB2312" w:eastAsia="仿宋_GB2312" w:cs="仿宋_GB2312"/>
                <w:kern w:val="0"/>
                <w:sz w:val="21"/>
                <w:szCs w:val="21"/>
              </w:rPr>
              <w:t>培训持续跟踪服务良好，具有一定特色。</w:t>
            </w:r>
          </w:p>
          <w:p w14:paraId="592C83D0">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三档（6分）：承诺项</w:t>
            </w:r>
            <w:r>
              <w:rPr>
                <w:rFonts w:hint="eastAsia" w:ascii="仿宋_GB2312" w:hAnsi="仿宋_GB2312" w:eastAsia="仿宋_GB2312" w:cs="仿宋_GB2312"/>
                <w:sz w:val="21"/>
                <w:szCs w:val="21"/>
              </w:rPr>
              <w:t>目结束后半年内持续提供相关内容的培训，</w:t>
            </w:r>
            <w:r>
              <w:rPr>
                <w:rFonts w:hint="eastAsia" w:ascii="仿宋_GB2312" w:hAnsi="仿宋_GB2312" w:eastAsia="仿宋_GB2312" w:cs="仿宋_GB2312"/>
                <w:kern w:val="0"/>
                <w:sz w:val="21"/>
                <w:szCs w:val="21"/>
              </w:rPr>
              <w:t>培训持续跟踪服务完善，有亮点、有特色。</w:t>
            </w:r>
          </w:p>
        </w:tc>
        <w:tc>
          <w:tcPr>
            <w:tcW w:w="679" w:type="dxa"/>
          </w:tcPr>
          <w:p w14:paraId="3CE1CBE2">
            <w:pPr>
              <w:spacing w:line="340" w:lineRule="exact"/>
              <w:jc w:val="right"/>
              <w:rPr>
                <w:rFonts w:hint="eastAsia" w:ascii="仿宋" w:hAnsi="仿宋" w:eastAsia="仿宋" w:cs="仿宋"/>
                <w:kern w:val="0"/>
                <w:sz w:val="21"/>
                <w:szCs w:val="21"/>
              </w:rPr>
            </w:pPr>
          </w:p>
        </w:tc>
      </w:tr>
      <w:tr w14:paraId="4285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662" w:type="dxa"/>
            <w:vMerge w:val="continue"/>
            <w:vAlign w:val="center"/>
          </w:tcPr>
          <w:p w14:paraId="417C5BD6">
            <w:pPr>
              <w:spacing w:line="340" w:lineRule="exact"/>
              <w:jc w:val="center"/>
              <w:rPr>
                <w:rFonts w:hint="eastAsia" w:ascii="仿宋_GB2312" w:hAnsi="仿宋_GB2312" w:eastAsia="仿宋_GB2312" w:cs="仿宋_GB2312"/>
                <w:kern w:val="0"/>
                <w:sz w:val="21"/>
                <w:szCs w:val="21"/>
              </w:rPr>
            </w:pPr>
          </w:p>
        </w:tc>
        <w:tc>
          <w:tcPr>
            <w:tcW w:w="851" w:type="dxa"/>
            <w:vMerge w:val="continue"/>
            <w:vAlign w:val="center"/>
          </w:tcPr>
          <w:p w14:paraId="33998DD7">
            <w:pPr>
              <w:spacing w:line="340" w:lineRule="exact"/>
              <w:rPr>
                <w:rFonts w:hint="eastAsia" w:ascii="仿宋_GB2312" w:hAnsi="仿宋_GB2312" w:eastAsia="仿宋_GB2312" w:cs="仿宋_GB2312"/>
                <w:kern w:val="0"/>
                <w:sz w:val="21"/>
                <w:szCs w:val="21"/>
              </w:rPr>
            </w:pPr>
          </w:p>
        </w:tc>
        <w:tc>
          <w:tcPr>
            <w:tcW w:w="1081" w:type="dxa"/>
            <w:vAlign w:val="center"/>
          </w:tcPr>
          <w:p w14:paraId="513770F4">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（7）项目经验与学科优势（9分）</w:t>
            </w:r>
          </w:p>
        </w:tc>
        <w:tc>
          <w:tcPr>
            <w:tcW w:w="6961" w:type="dxa"/>
            <w:vAlign w:val="center"/>
          </w:tcPr>
          <w:p w14:paraId="5FBA16F6">
            <w:pPr>
              <w:spacing w:line="3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培训业绩分满分（</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rPr>
              <w:t>分）</w:t>
            </w:r>
          </w:p>
          <w:p w14:paraId="41BAC683">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自202</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年以来承办</w:t>
            </w:r>
            <w:r>
              <w:rPr>
                <w:rFonts w:hint="eastAsia" w:ascii="仿宋_GB2312" w:hAnsi="仿宋_GB2312" w:eastAsia="仿宋_GB2312" w:cs="仿宋_GB2312"/>
                <w:kern w:val="0"/>
                <w:sz w:val="21"/>
                <w:szCs w:val="21"/>
                <w:lang w:val="en-US" w:eastAsia="zh-CN"/>
              </w:rPr>
              <w:t>或协办</w:t>
            </w:r>
            <w:r>
              <w:rPr>
                <w:rFonts w:hint="eastAsia" w:ascii="仿宋_GB2312" w:hAnsi="仿宋_GB2312" w:eastAsia="仿宋_GB2312" w:cs="仿宋_GB2312"/>
                <w:kern w:val="0"/>
                <w:sz w:val="21"/>
                <w:szCs w:val="21"/>
              </w:rPr>
              <w:t>过线下培训项目，[每个项目中实施的每个培训班人数不少于40（含）人]（提交证明材料：照片、签到表、</w:t>
            </w:r>
            <w:r>
              <w:rPr>
                <w:rFonts w:hint="eastAsia" w:ascii="仿宋_GB2312" w:hAnsi="仿宋_GB2312" w:eastAsia="仿宋_GB2312" w:cs="仿宋_GB2312"/>
                <w:sz w:val="21"/>
                <w:szCs w:val="21"/>
              </w:rPr>
              <w:t>通知或培训协议</w:t>
            </w:r>
            <w:r>
              <w:rPr>
                <w:rFonts w:hint="eastAsia" w:ascii="仿宋_GB2312" w:hAnsi="仿宋_GB2312" w:eastAsia="仿宋_GB2312" w:cs="仿宋_GB2312"/>
                <w:kern w:val="0"/>
                <w:sz w:val="21"/>
                <w:szCs w:val="21"/>
              </w:rPr>
              <w:t>）每承办</w:t>
            </w:r>
            <w:r>
              <w:rPr>
                <w:rFonts w:hint="eastAsia" w:ascii="仿宋_GB2312" w:hAnsi="仿宋_GB2312" w:eastAsia="仿宋_GB2312" w:cs="仿宋_GB2312"/>
                <w:kern w:val="0"/>
                <w:sz w:val="21"/>
                <w:szCs w:val="21"/>
                <w:lang w:eastAsia="zh-CN"/>
              </w:rPr>
              <w:t>或协办</w:t>
            </w:r>
            <w:r>
              <w:rPr>
                <w:rFonts w:hint="eastAsia" w:ascii="仿宋_GB2312" w:hAnsi="仿宋_GB2312" w:eastAsia="仿宋_GB2312" w:cs="仿宋_GB2312"/>
                <w:kern w:val="0"/>
                <w:sz w:val="21"/>
                <w:szCs w:val="21"/>
              </w:rPr>
              <w:t>1个项目得1分，最高得</w:t>
            </w:r>
            <w:r>
              <w:rPr>
                <w:rFonts w:hint="eastAsia" w:ascii="仿宋_GB2312" w:hAnsi="仿宋_GB2312" w:eastAsia="仿宋_GB2312" w:cs="仿宋_GB2312"/>
                <w:kern w:val="0"/>
                <w:sz w:val="21"/>
                <w:szCs w:val="21"/>
                <w:lang w:val="en-US" w:eastAsia="zh-CN"/>
              </w:rPr>
              <w:t>9</w:t>
            </w:r>
            <w:r>
              <w:rPr>
                <w:rFonts w:hint="eastAsia" w:ascii="仿宋_GB2312" w:hAnsi="仿宋_GB2312" w:eastAsia="仿宋_GB2312" w:cs="仿宋_GB2312"/>
                <w:kern w:val="0"/>
                <w:sz w:val="21"/>
                <w:szCs w:val="21"/>
              </w:rPr>
              <w:t>分；</w:t>
            </w:r>
          </w:p>
        </w:tc>
        <w:tc>
          <w:tcPr>
            <w:tcW w:w="679" w:type="dxa"/>
          </w:tcPr>
          <w:p w14:paraId="360B47E8">
            <w:pPr>
              <w:spacing w:line="340" w:lineRule="exact"/>
              <w:jc w:val="right"/>
              <w:rPr>
                <w:rFonts w:hint="eastAsia" w:ascii="仿宋" w:hAnsi="仿宋" w:eastAsia="仿宋" w:cs="仿宋"/>
                <w:kern w:val="0"/>
                <w:sz w:val="21"/>
                <w:szCs w:val="21"/>
              </w:rPr>
            </w:pPr>
          </w:p>
        </w:tc>
      </w:tr>
      <w:tr w14:paraId="180A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662" w:type="dxa"/>
            <w:vMerge w:val="continue"/>
            <w:vAlign w:val="center"/>
          </w:tcPr>
          <w:p w14:paraId="34316BBA">
            <w:pPr>
              <w:spacing w:line="340" w:lineRule="exact"/>
              <w:jc w:val="center"/>
              <w:rPr>
                <w:rFonts w:hint="eastAsia" w:ascii="仿宋" w:hAnsi="仿宋" w:eastAsia="仿宋" w:cs="仿宋"/>
                <w:kern w:val="0"/>
                <w:sz w:val="21"/>
                <w:szCs w:val="21"/>
              </w:rPr>
            </w:pPr>
          </w:p>
        </w:tc>
        <w:tc>
          <w:tcPr>
            <w:tcW w:w="851" w:type="dxa"/>
            <w:vMerge w:val="continue"/>
            <w:vAlign w:val="center"/>
          </w:tcPr>
          <w:p w14:paraId="272DB9A9">
            <w:pPr>
              <w:spacing w:line="340" w:lineRule="exact"/>
              <w:rPr>
                <w:rFonts w:hint="eastAsia" w:ascii="仿宋" w:hAnsi="仿宋" w:eastAsia="仿宋" w:cs="仿宋"/>
                <w:kern w:val="0"/>
                <w:sz w:val="21"/>
                <w:szCs w:val="21"/>
              </w:rPr>
            </w:pPr>
          </w:p>
        </w:tc>
        <w:tc>
          <w:tcPr>
            <w:tcW w:w="1081" w:type="dxa"/>
            <w:vAlign w:val="center"/>
          </w:tcPr>
          <w:p w14:paraId="4E18DF0E">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r>
              <w:rPr>
                <w:rFonts w:hint="eastAsia" w:ascii="仿宋_GB2312" w:hAnsi="仿宋_GB2312" w:eastAsia="仿宋_GB2312" w:cs="仿宋_GB2312"/>
                <w:kern w:val="0"/>
                <w:sz w:val="21"/>
                <w:szCs w:val="21"/>
                <w:lang w:val="en-US" w:eastAsia="zh-CN"/>
              </w:rPr>
              <w:t>诚信分</w:t>
            </w:r>
            <w:r>
              <w:rPr>
                <w:rFonts w:hint="eastAsia" w:ascii="仿宋_GB2312" w:hAnsi="仿宋_GB2312" w:eastAsia="仿宋_GB2312" w:cs="仿宋_GB2312"/>
                <w:kern w:val="0"/>
                <w:sz w:val="21"/>
                <w:szCs w:val="21"/>
              </w:rPr>
              <w:t>考核分（-10）</w:t>
            </w:r>
          </w:p>
        </w:tc>
        <w:tc>
          <w:tcPr>
            <w:tcW w:w="6961" w:type="dxa"/>
            <w:vAlign w:val="center"/>
          </w:tcPr>
          <w:p w14:paraId="3BDF6310">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供应商在截标日前一年内在政府采购活动中存在违约违规情形的（以财政部门书面认定材料为评分依据），每次扣除5分，最高扣10分。（若存在违约违规情形，由供应商提供认定材料；若不存在违约违规情形，提供无违约违规情形承诺书，格式自拟，加盖公章。若在项目处于质疑期，被其他利害关系供应商质疑或监督管理部门查实在政府采购活动中存在违约违规情形的，采购人有权将以提供虚假材料处理，报政府采购监督管理部门进行处罚）</w:t>
            </w:r>
          </w:p>
        </w:tc>
        <w:tc>
          <w:tcPr>
            <w:tcW w:w="679" w:type="dxa"/>
          </w:tcPr>
          <w:p w14:paraId="447AEDEF">
            <w:pPr>
              <w:spacing w:line="340" w:lineRule="exact"/>
              <w:jc w:val="right"/>
              <w:rPr>
                <w:rFonts w:hint="eastAsia" w:ascii="仿宋" w:hAnsi="仿宋" w:eastAsia="仿宋" w:cs="仿宋"/>
                <w:kern w:val="0"/>
                <w:sz w:val="21"/>
                <w:szCs w:val="21"/>
              </w:rPr>
            </w:pPr>
          </w:p>
        </w:tc>
      </w:tr>
      <w:tr w14:paraId="57EA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662" w:type="dxa"/>
            <w:vAlign w:val="center"/>
          </w:tcPr>
          <w:p w14:paraId="16E3D3A3">
            <w:pPr>
              <w:spacing w:line="34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851" w:type="dxa"/>
            <w:vAlign w:val="center"/>
          </w:tcPr>
          <w:p w14:paraId="672CA647">
            <w:pPr>
              <w:spacing w:line="340" w:lineRule="exact"/>
              <w:rPr>
                <w:rFonts w:hint="eastAsia" w:ascii="仿宋" w:hAnsi="仿宋" w:eastAsia="仿宋" w:cs="仿宋"/>
                <w:kern w:val="0"/>
                <w:sz w:val="21"/>
                <w:szCs w:val="21"/>
              </w:rPr>
            </w:pPr>
            <w:r>
              <w:rPr>
                <w:rFonts w:hint="eastAsia" w:ascii="仿宋_GB2312" w:hAnsi="仿宋_GB2312" w:eastAsia="仿宋_GB2312" w:cs="仿宋_GB2312"/>
                <w:kern w:val="0"/>
                <w:sz w:val="21"/>
                <w:szCs w:val="21"/>
              </w:rPr>
              <w:t>价格分（满分</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rPr>
              <w:t>分）</w:t>
            </w:r>
          </w:p>
        </w:tc>
        <w:tc>
          <w:tcPr>
            <w:tcW w:w="1081" w:type="dxa"/>
            <w:vAlign w:val="center"/>
          </w:tcPr>
          <w:p w14:paraId="394DD6A0">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（9）采购报价</w:t>
            </w:r>
          </w:p>
        </w:tc>
        <w:tc>
          <w:tcPr>
            <w:tcW w:w="6961" w:type="dxa"/>
            <w:vAlign w:val="center"/>
          </w:tcPr>
          <w:p w14:paraId="55C26546">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（1）投标人为小型和微型企业的投标价格给予</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0%的扣除，以扣除后的价格</w:t>
            </w:r>
            <w:r>
              <w:rPr>
                <w:rFonts w:hint="eastAsia" w:ascii="仿宋_GB2312" w:hAnsi="仿宋_GB2312" w:eastAsia="仿宋_GB2312" w:cs="仿宋_GB2312"/>
                <w:kern w:val="0"/>
                <w:sz w:val="21"/>
                <w:szCs w:val="21"/>
                <w:lang w:eastAsia="zh-CN"/>
              </w:rPr>
              <w:t>作为</w:t>
            </w:r>
            <w:r>
              <w:rPr>
                <w:rFonts w:hint="eastAsia" w:ascii="仿宋_GB2312" w:hAnsi="仿宋_GB2312" w:eastAsia="仿宋_GB2312" w:cs="仿宋_GB2312"/>
                <w:kern w:val="0"/>
                <w:sz w:val="21"/>
                <w:szCs w:val="21"/>
              </w:rPr>
              <w:t>评标价，即评标价＝投标报价×（</w:t>
            </w:r>
            <w:r>
              <w:rPr>
                <w:rFonts w:hint="eastAsia"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lang w:eastAsia="zh-CN"/>
              </w:rPr>
              <w:t>0%</w:t>
            </w:r>
            <w:r>
              <w:rPr>
                <w:rFonts w:hint="eastAsia" w:ascii="仿宋_GB2312" w:hAnsi="仿宋_GB2312" w:eastAsia="仿宋_GB2312" w:cs="仿宋_GB2312"/>
                <w:kern w:val="0"/>
                <w:sz w:val="21"/>
                <w:szCs w:val="21"/>
              </w:rPr>
              <w:t>）；（以投标人《报价表》和《中小企业声明函》为评分依据）</w:t>
            </w:r>
          </w:p>
          <w:p w14:paraId="5A308316">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）评标价＝投标报价；</w:t>
            </w:r>
          </w:p>
          <w:p w14:paraId="60F2B606">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）价格分计算公式：　</w:t>
            </w:r>
          </w:p>
          <w:p w14:paraId="600BED4E">
            <w:pPr>
              <w:spacing w:line="340" w:lineRule="exact"/>
              <w:ind w:firstLine="2100" w:firstLineChars="10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投标人最低评标价金额</w:t>
            </w:r>
          </w:p>
          <w:p w14:paraId="15FD94A3">
            <w:pPr>
              <w:spacing w:line="340" w:lineRule="exact"/>
              <w:ind w:firstLine="210" w:firstLineChars="10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mc:AlternateContent>
                <mc:Choice Requires="wps">
                  <w:drawing>
                    <wp:anchor distT="0" distB="0" distL="114300" distR="114300" simplePos="0" relativeHeight="251660288" behindDoc="0" locked="0" layoutInCell="1" allowOverlap="1">
                      <wp:simplePos x="0" y="0"/>
                      <wp:positionH relativeFrom="column">
                        <wp:posOffset>1249680</wp:posOffset>
                      </wp:positionH>
                      <wp:positionV relativeFrom="paragraph">
                        <wp:posOffset>101600</wp:posOffset>
                      </wp:positionV>
                      <wp:extent cx="16002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8.4pt;margin-top:8pt;height:0pt;width:126pt;z-index:251660288;mso-width-relative:page;mso-height-relative:page;" filled="f" stroked="t" coordsize="21600,21600" o:gfxdata="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6j5KrVAAAA&#10;CQEAAA8AAAAAAAAAAQAgAAAAIgAAAGRycy9kb3ducmV2LnhtbFBLAQIUABQAAAAIAIdO4kDszyOO&#10;5wEAALgDAAAOAAAAAAAAAAEAIAAAACQ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kern w:val="0"/>
                <w:sz w:val="21"/>
                <w:szCs w:val="21"/>
              </w:rPr>
              <w:t>某投标人价格分＝                                  ×　</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rPr>
              <w:t>分</w:t>
            </w:r>
          </w:p>
          <w:p w14:paraId="36D48C5D">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某投标人评标价金额</w:t>
            </w:r>
          </w:p>
        </w:tc>
        <w:tc>
          <w:tcPr>
            <w:tcW w:w="679" w:type="dxa"/>
          </w:tcPr>
          <w:p w14:paraId="36DBA64F">
            <w:pPr>
              <w:spacing w:line="340" w:lineRule="exact"/>
              <w:jc w:val="right"/>
              <w:rPr>
                <w:rFonts w:hint="eastAsia" w:ascii="仿宋" w:hAnsi="仿宋" w:eastAsia="仿宋" w:cs="仿宋"/>
                <w:kern w:val="0"/>
                <w:sz w:val="21"/>
                <w:szCs w:val="21"/>
              </w:rPr>
            </w:pPr>
          </w:p>
        </w:tc>
      </w:tr>
      <w:tr w14:paraId="41A1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62" w:type="dxa"/>
          </w:tcPr>
          <w:p w14:paraId="5C85F4C0">
            <w:pPr>
              <w:spacing w:line="340" w:lineRule="exact"/>
              <w:jc w:val="center"/>
              <w:rPr>
                <w:rFonts w:hint="eastAsia" w:ascii="仿宋" w:hAnsi="仿宋" w:eastAsia="仿宋" w:cs="仿宋"/>
                <w:kern w:val="0"/>
                <w:sz w:val="21"/>
                <w:szCs w:val="21"/>
              </w:rPr>
            </w:pPr>
          </w:p>
        </w:tc>
        <w:tc>
          <w:tcPr>
            <w:tcW w:w="8893" w:type="dxa"/>
            <w:gridSpan w:val="3"/>
            <w:vAlign w:val="center"/>
          </w:tcPr>
          <w:p w14:paraId="0F4103A2">
            <w:pPr>
              <w:spacing w:line="340" w:lineRule="exact"/>
              <w:jc w:val="center"/>
              <w:rPr>
                <w:rFonts w:hint="eastAsia" w:ascii="仿宋" w:hAnsi="仿宋" w:eastAsia="仿宋" w:cs="仿宋"/>
                <w:b/>
                <w:kern w:val="0"/>
                <w:sz w:val="21"/>
                <w:szCs w:val="21"/>
              </w:rPr>
            </w:pPr>
            <w:r>
              <w:rPr>
                <w:rFonts w:hint="eastAsia" w:ascii="仿宋_GB2312" w:hAnsi="仿宋_GB2312" w:eastAsia="仿宋_GB2312" w:cs="仿宋_GB2312"/>
                <w:kern w:val="0"/>
                <w:sz w:val="21"/>
                <w:szCs w:val="21"/>
              </w:rPr>
              <w:t>　合计得分</w:t>
            </w:r>
          </w:p>
        </w:tc>
        <w:tc>
          <w:tcPr>
            <w:tcW w:w="679" w:type="dxa"/>
          </w:tcPr>
          <w:p w14:paraId="0C24D729">
            <w:pPr>
              <w:spacing w:line="340" w:lineRule="exact"/>
              <w:jc w:val="right"/>
              <w:rPr>
                <w:rFonts w:hint="eastAsia" w:ascii="仿宋" w:hAnsi="仿宋" w:eastAsia="仿宋" w:cs="仿宋"/>
                <w:kern w:val="0"/>
                <w:sz w:val="21"/>
                <w:szCs w:val="21"/>
              </w:rPr>
            </w:pPr>
          </w:p>
        </w:tc>
      </w:tr>
      <w:bookmarkEnd w:id="0"/>
    </w:tbl>
    <w:p w14:paraId="6C7106A7"/>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720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F29B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EF29B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FB4F8"/>
    <w:rsid w:val="0626650E"/>
    <w:rsid w:val="13CF064E"/>
    <w:rsid w:val="283C2BCC"/>
    <w:rsid w:val="2FEA0FE9"/>
    <w:rsid w:val="343A368F"/>
    <w:rsid w:val="4B7C0989"/>
    <w:rsid w:val="4CEF0BAD"/>
    <w:rsid w:val="4E215772"/>
    <w:rsid w:val="507C2A18"/>
    <w:rsid w:val="714A26F5"/>
    <w:rsid w:val="768F37FB"/>
    <w:rsid w:val="79E75729"/>
    <w:rsid w:val="7F6FB4F8"/>
    <w:rsid w:val="FFBF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eastAsiaTheme="minorEastAsia" w:cstheme="minorBidi"/>
      <w:spacing w:val="-4"/>
      <w:sz w:val="18"/>
      <w:szCs w:val="22"/>
    </w:rPr>
  </w:style>
  <w:style w:type="paragraph" w:styleId="3">
    <w:name w:val="Plain Text"/>
    <w:basedOn w:val="1"/>
    <w:qFormat/>
    <w:uiPriority w:val="0"/>
    <w:rPr>
      <w:rFonts w:ascii="宋体" w:hAnsi="Courier New" w:eastAsiaTheme="minorEastAsia" w:cstheme="minorBidi"/>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1917</Words>
  <Characters>1947</Characters>
  <Lines>0</Lines>
  <Paragraphs>0</Paragraphs>
  <TotalTime>0</TotalTime>
  <ScaleCrop>false</ScaleCrop>
  <LinksUpToDate>false</LinksUpToDate>
  <CharactersWithSpaces>2005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2023-05-06T17:10:00Z</dcterms:created>
  <dc:creator>guest</dc:creator>
  <cp:lastModifiedBy>忘忧先生。</cp:lastModifiedBy>
  <dcterms:modified xsi:type="dcterms:W3CDTF">2024-12-10T02:13:55Z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9698FE61B01C40C9BA56AE7A10A7B27C_13</vt:lpwstr>
  </property>
</Properties>
</file>