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sz w:val="32"/>
          <w:szCs w:val="32"/>
          <w:lang w:val="en-US" w:eastAsia="zh-CN"/>
        </w:rPr>
      </w:pPr>
      <w:r>
        <w:rPr>
          <w:rFonts w:hint="eastAsia" w:ascii="黑体" w:hAnsi="黑体" w:eastAsia="黑体"/>
          <w:sz w:val="32"/>
          <w:szCs w:val="32"/>
          <w:lang w:val="en-US" w:eastAsia="zh-CN"/>
        </w:rPr>
        <w:t>附件</w:t>
      </w:r>
    </w:p>
    <w:p>
      <w:pPr>
        <w:keepNext w:val="0"/>
        <w:keepLines w:val="0"/>
        <w:pageBreakBefore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智汇龙城·柳州汽车产业创新创业路演暨“共生·价值”第九届“金博奖”区域赛</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为进一步加快柳州市汽车产业科技创新项目高质量发展，整合全市创新资源，吸引区外优秀项目向柳州市集聚，搭建融资对接平台，营造科技创业氛围，展示、转化、落地一批针对性强的优秀项目，举办智汇龙城·柳州汽车产业创新创业路演暨“共生·价值”第九届“金博奖”区域赛，特制订方案如下：</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一、活动主题</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智汇龙城·柳州汽车产业创新创业路演暨“共生·价值”第九届“金博奖”区域赛</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二、活动时间及地点</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（一）时间：2</w:t>
      </w:r>
      <w:r>
        <w:rPr>
          <w:rFonts w:ascii="仿宋" w:hAnsi="仿宋" w:eastAsia="仿宋"/>
          <w:sz w:val="32"/>
          <w:szCs w:val="32"/>
        </w:rPr>
        <w:t>020</w:t>
      </w:r>
      <w:r>
        <w:rPr>
          <w:rFonts w:hint="eastAsia" w:ascii="仿宋" w:hAnsi="仿宋" w:eastAsia="仿宋"/>
          <w:sz w:val="32"/>
          <w:szCs w:val="32"/>
        </w:rPr>
        <w:t>年1</w:t>
      </w:r>
      <w:r>
        <w:rPr>
          <w:rFonts w:ascii="仿宋" w:hAnsi="仿宋" w:eastAsia="仿宋"/>
          <w:sz w:val="32"/>
          <w:szCs w:val="32"/>
        </w:rPr>
        <w:t>1</w:t>
      </w:r>
      <w:r>
        <w:rPr>
          <w:rFonts w:hint="eastAsia" w:ascii="仿宋" w:hAnsi="仿宋" w:eastAsia="仿宋"/>
          <w:sz w:val="32"/>
          <w:szCs w:val="32"/>
        </w:rPr>
        <w:t>月3</w:t>
      </w:r>
      <w:r>
        <w:rPr>
          <w:rFonts w:ascii="仿宋" w:hAnsi="仿宋" w:eastAsia="仿宋"/>
          <w:sz w:val="32"/>
          <w:szCs w:val="32"/>
        </w:rPr>
        <w:t>0</w:t>
      </w:r>
      <w:r>
        <w:rPr>
          <w:rFonts w:hint="eastAsia" w:ascii="仿宋" w:hAnsi="仿宋" w:eastAsia="仿宋"/>
          <w:sz w:val="32"/>
          <w:szCs w:val="32"/>
        </w:rPr>
        <w:t>日（星期一）1</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:0</w:t>
      </w:r>
      <w:r>
        <w:rPr>
          <w:rFonts w:ascii="仿宋" w:hAnsi="仿宋" w:eastAsia="仿宋"/>
          <w:sz w:val="32"/>
          <w:szCs w:val="32"/>
        </w:rPr>
        <w:t>0</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（二）地点：柳州市鱼峰区新柳大道1</w:t>
      </w:r>
      <w:r>
        <w:rPr>
          <w:rFonts w:ascii="仿宋" w:hAnsi="仿宋" w:eastAsia="仿宋"/>
          <w:sz w:val="32"/>
          <w:szCs w:val="32"/>
        </w:rPr>
        <w:t>11</w:t>
      </w:r>
      <w:r>
        <w:rPr>
          <w:rFonts w:hint="eastAsia" w:ascii="仿宋" w:hAnsi="仿宋" w:eastAsia="仿宋"/>
          <w:sz w:val="32"/>
          <w:szCs w:val="32"/>
        </w:rPr>
        <w:t>号新城</w:t>
      </w:r>
      <w:r>
        <w:rPr>
          <w:rFonts w:ascii="仿宋" w:hAnsi="仿宋" w:eastAsia="仿宋"/>
          <w:sz w:val="32"/>
          <w:szCs w:val="32"/>
        </w:rPr>
        <w:t>智埠4楼</w:t>
      </w:r>
      <w:r>
        <w:rPr>
          <w:rFonts w:hint="eastAsia" w:ascii="仿宋" w:hAnsi="仿宋" w:eastAsia="仿宋"/>
          <w:sz w:val="32"/>
          <w:szCs w:val="32"/>
        </w:rPr>
        <w:t>（柳州科技大市场）</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三、活动形式</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线上+线下路演</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四、组织机构</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（一）主办单位：柳州市科学技术局、柳州市柳东新区科技和大数据发展局、广东博士创新发展促进会</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（二）承办单位：柳州科技大市场、柳州高新技术创业服务中心、广西博士海意信息科技有限公司、柳州市博士睿创技术转移有限公司</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五、参会人员</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（一）柳州市科学技术局、柳东新区管委会等部门相关领导</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（二）博士科技集团副总裁</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（三）点评嘉宾、投融资机构代表和专家</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（四）路演企业和观摩企业代表</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六、路演项目名单</w:t>
      </w:r>
    </w:p>
    <w:p>
      <w:pPr>
        <w:keepNext w:val="0"/>
        <w:keepLines w:val="0"/>
        <w:pageBreakBefore w:val="0"/>
        <w:kinsoku/>
        <w:wordWrap/>
        <w:overflowPunct/>
        <w:topLinePunct w:val="0"/>
        <w:autoSpaceDE/>
        <w:autoSpaceDN/>
        <w:bidi w:val="0"/>
        <w:adjustRightInd/>
        <w:snapToGrid/>
        <w:spacing w:line="500" w:lineRule="exact"/>
        <w:ind w:firstLine="640"/>
        <w:textAlignment w:val="auto"/>
        <w:outlineLvl w:val="9"/>
        <w:rPr>
          <w:rFonts w:ascii="仿宋" w:hAnsi="仿宋" w:eastAsia="仿宋"/>
          <w:sz w:val="32"/>
          <w:szCs w:val="32"/>
        </w:rPr>
      </w:pPr>
      <w:r>
        <w:rPr>
          <w:rFonts w:hint="eastAsia" w:ascii="仿宋" w:hAnsi="仿宋" w:eastAsia="仿宋"/>
          <w:sz w:val="32"/>
          <w:szCs w:val="32"/>
        </w:rPr>
        <w:t>共8个项目路演，其中柳州企业/项目3项，金博奖汽车行业项目5项。若有外地项目由于时间冲突不能至柳州参加线下路演的，则进行线上路演。</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ascii="仿宋" w:hAnsi="仿宋" w:eastAsia="仿宋"/>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ascii="仿宋" w:hAnsi="仿宋" w:eastAsia="仿宋"/>
          <w:sz w:val="32"/>
          <w:szCs w:val="32"/>
        </w:rPr>
        <w:br w:type="page"/>
      </w:r>
    </w:p>
    <w:tbl>
      <w:tblPr>
        <w:tblStyle w:val="6"/>
        <w:tblW w:w="1502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268"/>
        <w:gridCol w:w="1034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28"/>
                <w:szCs w:val="28"/>
              </w:rPr>
            </w:pPr>
            <w:r>
              <w:rPr>
                <w:rFonts w:hint="eastAsia" w:ascii="仿宋" w:hAnsi="仿宋" w:eastAsia="仿宋"/>
                <w:b/>
                <w:bCs/>
                <w:sz w:val="28"/>
                <w:szCs w:val="28"/>
              </w:rPr>
              <w:t>企业名称</w:t>
            </w:r>
          </w:p>
        </w:tc>
        <w:tc>
          <w:tcPr>
            <w:tcW w:w="2268"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28"/>
                <w:szCs w:val="28"/>
              </w:rPr>
            </w:pPr>
            <w:r>
              <w:rPr>
                <w:rFonts w:hint="eastAsia" w:ascii="仿宋" w:hAnsi="仿宋" w:eastAsia="仿宋"/>
                <w:b/>
                <w:bCs/>
                <w:sz w:val="28"/>
                <w:szCs w:val="28"/>
              </w:rPr>
              <w:t>项目名称</w:t>
            </w:r>
          </w:p>
        </w:tc>
        <w:tc>
          <w:tcPr>
            <w:tcW w:w="10348"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28"/>
                <w:szCs w:val="28"/>
              </w:rPr>
            </w:pPr>
            <w:r>
              <w:rPr>
                <w:rFonts w:hint="eastAsia" w:ascii="仿宋" w:hAnsi="仿宋" w:eastAsia="仿宋"/>
                <w:b/>
                <w:bCs/>
                <w:sz w:val="28"/>
                <w:szCs w:val="28"/>
              </w:rPr>
              <w:t>项目简介</w:t>
            </w:r>
          </w:p>
        </w:tc>
        <w:tc>
          <w:tcPr>
            <w:tcW w:w="709"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24"/>
                <w:szCs w:val="24"/>
              </w:rPr>
            </w:pPr>
            <w:r>
              <w:rPr>
                <w:rFonts w:hint="eastAsia" w:ascii="仿宋" w:hAnsi="仿宋" w:eastAsia="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柳州沪信汽车科技有限公司</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基于智能识别及自适应柔性装配技术的汽车保险盒生产线设计与制造</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汽车保险盒具有子零件种类多、装配精度和防错要求高、故障诊断难度大等特点，人工装配会带来装配质量不稳定，装配效率低，产品报废率高等问题。通过自动装配的柔性化设计、视觉智能识别与检测等技术的应用和智能化大数据信息系统的实施，实现在生产线上生产多型号产品，减少企业成本，提升装配效率和降低废品率。通过集成自动装配的柔性化设计、视觉智能识别与检测等技术的应用和生产线智能化大数据信息系统的实施，实现在生产线上生产多型号产品，减少企业成本，提升装配效率和降低废品率。项目研究解决的问题：通过对柔性切换、自动上下料、智能装配、视觉识别、智能控制、自动化检测等关键技术的研究，向线束生产企业提供从软件、硬件、技术咨询等一体化的解决方案和可定制化的汽车保险盒柔性智能装配生产线及制造、检测与质量监控服务。</w:t>
            </w:r>
          </w:p>
        </w:tc>
        <w:tc>
          <w:tcPr>
            <w:tcW w:w="709"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杭州创块科技有限公司</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空中出租车动力总成</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空中出租车可能很快就会成为现实。播音和优步等主要公司都在针对空中出租车项目展开大量资金。这将人们带到城市周围的一种新出行方式，目前市面上主要为油动和电动发动机。电动发动机由于目前电池技术还没有取得重大突破，所以续航时间极为短暂，唯有油动尤其是窝喷发动机比较成熟。有望在未来成为空中出租车的主要动力总成来源，我们的团队来自于航天科工集团，三院等国家系统，全部在业内有不小的声望。</w:t>
            </w:r>
          </w:p>
        </w:tc>
        <w:tc>
          <w:tcPr>
            <w:tcW w:w="709"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tabs>
                <w:tab w:val="left" w:pos="720"/>
              </w:tabs>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美国America P&amp;G Co.研究所</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高分子纳米新材料在国防高科技领域的升级与应用</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提供美国专利技术转让</w:t>
            </w:r>
            <w:r>
              <w:rPr>
                <w:rFonts w:ascii="仿宋" w:hAnsi="仿宋" w:eastAsia="仿宋"/>
                <w:sz w:val="24"/>
                <w:szCs w:val="24"/>
              </w:rPr>
              <w:t>,生产纳米新材料,能够应用在泵阀、航空航天,交通,能源,消费,防爆等高端产品領域。能够固态粉末添加在企业原料颗粒或混合在添加剂粉末,直接运用在企业的塑料或橡胶生产线,增强产品的机械性能和热学性能。 升级塑料(PE,PP,PVC),特种塑料,工程塑料和涂料等: 抗腐蚀性,耐化学性,增高强度耐磨,耐强压力,耐高温无软变,耐低温无脆裂.</w:t>
            </w:r>
          </w:p>
        </w:tc>
        <w:tc>
          <w:tcPr>
            <w:tcW w:w="709"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线上路演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萍乡市慧成精密机电有限公司</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高性能燃气轮机陶瓷复合材料</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高性能燃气轮机</w:t>
            </w:r>
            <w:r>
              <w:rPr>
                <w:rFonts w:ascii="仿宋" w:hAnsi="仿宋" w:eastAsia="仿宋"/>
                <w:sz w:val="24"/>
                <w:szCs w:val="24"/>
              </w:rPr>
              <w:t>陶瓷复合材料”</w:t>
            </w:r>
            <w:r>
              <w:rPr>
                <w:rFonts w:hint="eastAsia" w:ascii="仿宋" w:hAnsi="仿宋" w:eastAsia="仿宋"/>
                <w:sz w:val="24"/>
                <w:szCs w:val="24"/>
              </w:rPr>
              <w:t>项目，由萍乡市慧成精密机电有限公司黄若博士</w:t>
            </w:r>
            <w:r>
              <w:rPr>
                <w:rFonts w:ascii="仿宋" w:hAnsi="仿宋" w:eastAsia="仿宋"/>
                <w:sz w:val="24"/>
                <w:szCs w:val="24"/>
              </w:rPr>
              <w:t>与俄罗斯</w:t>
            </w:r>
            <w:r>
              <w:rPr>
                <w:rFonts w:hint="eastAsia" w:ascii="仿宋" w:hAnsi="仿宋" w:eastAsia="仿宋"/>
                <w:sz w:val="24"/>
                <w:szCs w:val="24"/>
              </w:rPr>
              <w:t>专家</w:t>
            </w:r>
            <w:r>
              <w:rPr>
                <w:rFonts w:ascii="仿宋" w:hAnsi="仿宋" w:eastAsia="仿宋"/>
                <w:sz w:val="24"/>
                <w:szCs w:val="24"/>
              </w:rPr>
              <w:t>合作，已生产出样品。性能指标领先，可满足高端微型燃气轮机、车用涡轮增压器、陶瓷换热器、低摩擦陶瓷轴承与高性能密封件等严苛技术性能要求，</w:t>
            </w:r>
            <w:r>
              <w:rPr>
                <w:rFonts w:hint="eastAsia" w:ascii="仿宋" w:hAnsi="仿宋" w:eastAsia="仿宋"/>
                <w:sz w:val="24"/>
                <w:szCs w:val="24"/>
              </w:rPr>
              <w:t>50KW陶瓷涡轮燃气轮机发电效率45%以上、涡轮前温度不低于1350℃、转速8万转/分</w:t>
            </w:r>
            <w:r>
              <w:rPr>
                <w:rFonts w:ascii="仿宋" w:hAnsi="仿宋" w:eastAsia="仿宋"/>
                <w:sz w:val="24"/>
                <w:szCs w:val="24"/>
              </w:rPr>
              <w:t>。高端微型燃气轮机是工业制造领域皇冠上的明珠，</w:t>
            </w:r>
            <w:r>
              <w:rPr>
                <w:rFonts w:hint="eastAsia" w:ascii="仿宋" w:hAnsi="仿宋" w:eastAsia="仿宋"/>
                <w:sz w:val="24"/>
                <w:szCs w:val="24"/>
              </w:rPr>
              <w:t>并突破高性能陶瓷复合材料制造技术瓶颈。</w:t>
            </w:r>
          </w:p>
        </w:tc>
        <w:tc>
          <w:tcPr>
            <w:tcW w:w="709"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线上路演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蓝擎科技有限公司</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ascii="仿宋" w:hAnsi="仿宋" w:eastAsia="仿宋"/>
                <w:sz w:val="24"/>
                <w:szCs w:val="24"/>
              </w:rPr>
              <w:t>致力改善能源利用及空气质量的创新材料机构</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澳门蓝擎科技是致力推广环保技术的新创公司，宗旨透过环保技术为人们带来更健康，节能与优质的生活。为了应对国务院发布的《打赢蓝天保卫战三年行动计划》，我们研发出一款材料，使燃油车(汽油，柴油，天燃气)出行更环保；材料安装在进气风隔内后，使行驶时吸入的空气性质改变，进入引擎后燃油会被深度燃烧全面转化成动力，防止积碳增生，以及大大减少生成尾气中有害物质，令燃油车达至国家全面推行的的国六排放标准。</w:t>
            </w:r>
          </w:p>
        </w:tc>
        <w:tc>
          <w:tcPr>
            <w:tcW w:w="709"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鹤山波粒涂料科技有限公司</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钣喷革命—光固化</w:t>
            </w:r>
            <w:r>
              <w:rPr>
                <w:rFonts w:ascii="仿宋" w:hAnsi="仿宋" w:eastAsia="仿宋"/>
                <w:sz w:val="24"/>
                <w:szCs w:val="24"/>
              </w:rPr>
              <w:t xml:space="preserve"> 技术实现1小时提车</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本项目通过解决光固化技术中“氧阻聚”和“深层固化”两大难题，在全球范围内率先研发完成了适用于小汽车全车光固化修补喷漆的技术方案。光固化腻子产品固化仅需</w:t>
            </w:r>
            <w:r>
              <w:rPr>
                <w:rFonts w:ascii="仿宋" w:hAnsi="仿宋" w:eastAsia="仿宋"/>
                <w:sz w:val="24"/>
                <w:szCs w:val="24"/>
              </w:rPr>
              <w:t>3-5秒，光固化清漆固化仅需2分钟，使得大部分汽车钣喷能在1小时内完成，让消费者实现当场提车，也让钣喷店轻松扩产与增收。</w:t>
            </w:r>
          </w:p>
        </w:tc>
        <w:tc>
          <w:tcPr>
            <w:tcW w:w="709"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线上路演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柳州中动智轮科技</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智能车轮系统开发及汽车超高安全性节能化应用创新</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智能车轮系统是车辆动力学控制的前瞻技术，智能车轮实时精确采集各个车轮的六分力信息，基于车轮六分力的力控算法，更加精准的控制车辆，实现智能汽车的安全性节能化应用。对于用户而言，智能车轮系统实现实时监测车轮状态，实现实时预警。而基于智能轮胎系统的主动安全算法，不仅提升车辆的动态性能表现，更是在车辆安全性稳定性方面进一步提升。对于整车厂而言，基于智能车轮构建的用户大数据平台，可以实时采集用户驾驶风格、路面工况等，深度挖掘大数据信息，为车辆的开发提供最前端需求。</w:t>
            </w:r>
          </w:p>
        </w:tc>
        <w:tc>
          <w:tcPr>
            <w:tcW w:w="709"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ascii="仿宋" w:hAnsi="仿宋" w:eastAsia="仿宋"/>
                <w:sz w:val="24"/>
                <w:szCs w:val="24"/>
              </w:rPr>
              <w:t>广西贝驰汽车科技有限公司</w:t>
            </w:r>
          </w:p>
        </w:tc>
        <w:tc>
          <w:tcPr>
            <w:tcW w:w="226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复材环保电镀技术研究、装备开发及应用</w:t>
            </w:r>
          </w:p>
        </w:tc>
        <w:tc>
          <w:tcPr>
            <w:tcW w:w="10348"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广西贝驰团队历时5年研发了适用于塑料及其复合材料环保电镀工艺取代塑胶水电镀，形成相关专利5项，正在申报4项；建立国内首条具有自主知识产权的环保电镀生产线，单条线年产值约0.63亿元。预计3年内建立3~4家分公司，预计可实现6~7亿销售收入，每年减少重金属废水约78.8万吨，减少重金属废物805.9吨。本项目开发的环保镀技术，适用于汽车内外饰装饰件表面金属化处理，使汽车内外饰美观，具备金属质感，应用范围广，包含汽车车标、汽车字牌、车门装饰条、空调出风口装饰件、中控台装饰件、副仪表装饰件、后排出风口装饰件、反向盘装饰件、仪表盘装饰件、车门外把手装饰件、车窗装饰件、行李箱盖装饰件等众多部件。环保电镀技术是在汽车内外饰装饰塑料素材上镀上金属层，并与UV光固化涂层技术相结合，提升产品表面的硬度，使镀金属层与工件表面的结合力更大，耐磨性和耐腐蚀性更好，镀层的性能也更稳定。目前已经顺利成为上汽通用五菱、东风柳汽等主机厂一级供应商，也是延锋饰件、佛吉亚内饰等国内外知名零部件巨头的合作伙伴，并已经实现量产合作，开始批量交付。</w:t>
            </w:r>
          </w:p>
        </w:tc>
        <w:tc>
          <w:tcPr>
            <w:tcW w:w="709"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p>
        </w:tc>
      </w:tr>
    </w:tbl>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ascii="黑体" w:hAnsi="黑体" w:eastAsia="黑体"/>
          <w:sz w:val="32"/>
          <w:szCs w:val="32"/>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七、点评嘉宾名单</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邀请5位点评嘉宾。其中区外资深领域投资人2人，行业专家1人，柳州投资人/行业专家2人。</w:t>
      </w:r>
    </w:p>
    <w:tbl>
      <w:tblPr>
        <w:tblStyle w:val="6"/>
        <w:tblW w:w="1020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32"/>
                <w:szCs w:val="32"/>
              </w:rPr>
            </w:pPr>
            <w:r>
              <w:rPr>
                <w:rFonts w:hint="eastAsia" w:ascii="仿宋" w:hAnsi="仿宋" w:eastAsia="仿宋"/>
                <w:b/>
                <w:bCs/>
                <w:sz w:val="32"/>
                <w:szCs w:val="32"/>
              </w:rPr>
              <w:t>姓名</w:t>
            </w:r>
          </w:p>
        </w:tc>
        <w:tc>
          <w:tcPr>
            <w:tcW w:w="7796"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32"/>
                <w:szCs w:val="32"/>
              </w:rPr>
            </w:pPr>
            <w:r>
              <w:rPr>
                <w:rFonts w:hint="eastAsia" w:ascii="仿宋" w:hAnsi="仿宋" w:eastAsia="仿宋"/>
                <w:b/>
                <w:bCs/>
                <w:sz w:val="32"/>
                <w:szCs w:val="32"/>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11"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24"/>
                <w:szCs w:val="24"/>
              </w:rPr>
              <w:t>徐晓鑫</w:t>
            </w:r>
          </w:p>
        </w:tc>
        <w:tc>
          <w:tcPr>
            <w:tcW w:w="7796"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毕业华南理工大学环境工程专业，博士研究生学历。曾任职于国家级工程实验室，负责完成多个国家级科研项目，发表纳米材料、环境治理领域相关国际学术论文10篇以上。现就职于广东省粤科金融集团，负责节能环保、新能源及汽车行业的投研，参与投资通达电气、豪美新材、欧科亿、嘉元科技等上市项目，投研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1"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24"/>
                <w:szCs w:val="24"/>
              </w:rPr>
              <w:t>郑进平</w:t>
            </w:r>
          </w:p>
        </w:tc>
        <w:tc>
          <w:tcPr>
            <w:tcW w:w="7796"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32"/>
                <w:szCs w:val="32"/>
              </w:rPr>
            </w:pPr>
            <w:r>
              <w:rPr>
                <w:rFonts w:hint="eastAsia" w:ascii="仿宋" w:hAnsi="仿宋" w:eastAsia="仿宋"/>
                <w:sz w:val="24"/>
                <w:szCs w:val="24"/>
              </w:rPr>
              <w:t>聚图资本投资总监、天使投资人、多年连续创投经验，擅长早期项目投资孵化，曾成功融资孵化年营收过2亿公司，并成功退出，有丰富的投资运营管理经验，熟悉企业发展各阶段的战略规划、资本规划与股权增值。香港科技大学百万奖金创业大赛、岭创国际双创大赛、越青杯、天英汇、创客广东等创业大赛评委、创业导师，主要关注投资领域包括硬材料、生物医药、新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11"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24"/>
                <w:szCs w:val="24"/>
              </w:rPr>
            </w:pPr>
            <w:r>
              <w:rPr>
                <w:rFonts w:hint="eastAsia" w:ascii="仿宋" w:hAnsi="仿宋" w:eastAsia="仿宋"/>
                <w:sz w:val="24"/>
                <w:szCs w:val="24"/>
              </w:rPr>
              <w:t>莫容</w:t>
            </w:r>
          </w:p>
        </w:tc>
        <w:tc>
          <w:tcPr>
            <w:tcW w:w="7796"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广西柳工集团有限公司双创办主任、广西腾智投资有限公司副总经理，分管柳工集团双创及科技企业孵化器工作，多年的公司运营和质量管理工作经验。高级工程师，全国质量奖评审员，柳州市市长质量奖评审员，曾荣获柳州市科学技术进步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1"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24"/>
                <w:szCs w:val="24"/>
              </w:rPr>
            </w:pPr>
            <w:r>
              <w:rPr>
                <w:rFonts w:hint="eastAsia" w:ascii="仿宋" w:hAnsi="仿宋" w:eastAsia="仿宋"/>
                <w:sz w:val="24"/>
                <w:szCs w:val="24"/>
              </w:rPr>
              <w:t>陈默</w:t>
            </w:r>
          </w:p>
        </w:tc>
        <w:tc>
          <w:tcPr>
            <w:tcW w:w="7796"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大唐财富南宁财富中心总经理，对外经济贸易大学金融投资硕士，十八年银行、信托公司、基金管理公司等金融机构从业经历，在金融市场投融资领域拥有丰富实践经验。2018、2019、2020年担任广中国创新创业大赛广西赛区复赛专家评委，被广西科技厅授予“火炬创业导师”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11"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24"/>
                <w:szCs w:val="24"/>
              </w:rPr>
            </w:pPr>
            <w:r>
              <w:rPr>
                <w:rFonts w:hint="eastAsia" w:ascii="仿宋" w:hAnsi="仿宋" w:eastAsia="仿宋"/>
                <w:sz w:val="24"/>
                <w:szCs w:val="24"/>
              </w:rPr>
              <w:t>陈诚</w:t>
            </w:r>
          </w:p>
        </w:tc>
        <w:tc>
          <w:tcPr>
            <w:tcW w:w="7796" w:type="dxa"/>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 w:hAnsi="仿宋" w:eastAsia="仿宋"/>
                <w:sz w:val="24"/>
                <w:szCs w:val="24"/>
              </w:rPr>
            </w:pPr>
            <w:r>
              <w:rPr>
                <w:rFonts w:hint="eastAsia" w:ascii="仿宋" w:hAnsi="仿宋" w:eastAsia="仿宋"/>
                <w:sz w:val="24"/>
                <w:szCs w:val="24"/>
              </w:rPr>
              <w:t>现任柳州市容易海达投资管理有限公司总经理。华南理工大学工商管理学士，英国莱斯特大学营销硕士，现中欧国际工商学院金融MBA。2010年进入资本市场从事一级市场投资和行业研究，拥有10年创业投资经验，致力于农业、食品、医疗器械、生物医药以及机械制造行业的深度研究，曾参与多家上市公司调研及合作。成功案例：投资了北京大清生物技术有限公司、七色珠光（832080）、中新正大（834181）、精湛光电（832414）；参与了青海明胶【现更名为神州易桥】（000606）定向增发并购柳州市宏升胶原蛋白肠衣有限公司、广陆数测【现更名为东方网络】（002175）的重组业务等项目。</w:t>
            </w:r>
          </w:p>
        </w:tc>
      </w:tr>
    </w:tbl>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八、活动议程</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32"/>
                <w:szCs w:val="32"/>
              </w:rPr>
            </w:pPr>
            <w:r>
              <w:rPr>
                <w:rFonts w:hint="eastAsia" w:ascii="仿宋" w:hAnsi="仿宋" w:eastAsia="仿宋"/>
                <w:b/>
                <w:bCs/>
                <w:sz w:val="32"/>
                <w:szCs w:val="32"/>
              </w:rPr>
              <w:t>时间</w:t>
            </w:r>
          </w:p>
        </w:tc>
        <w:tc>
          <w:tcPr>
            <w:tcW w:w="4615"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b/>
                <w:bCs/>
                <w:sz w:val="32"/>
                <w:szCs w:val="32"/>
              </w:rPr>
            </w:pPr>
            <w:r>
              <w:rPr>
                <w:rFonts w:hint="eastAsia" w:ascii="仿宋" w:hAnsi="仿宋" w:eastAsia="仿宋"/>
                <w:b/>
                <w:bCs/>
                <w:sz w:val="32"/>
                <w:szCs w:val="32"/>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8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30</w:t>
            </w:r>
            <w:r>
              <w:rPr>
                <w:rFonts w:hint="eastAsia" w:ascii="仿宋" w:hAnsi="仿宋" w:eastAsia="仿宋"/>
                <w:sz w:val="32"/>
                <w:szCs w:val="32"/>
              </w:rPr>
              <w:t>—</w:t>
            </w:r>
            <w:r>
              <w:rPr>
                <w:rFonts w:ascii="仿宋" w:hAnsi="仿宋" w:eastAsia="仿宋"/>
                <w:sz w:val="32"/>
                <w:szCs w:val="32"/>
              </w:rPr>
              <w:t>15</w:t>
            </w:r>
            <w:r>
              <w:rPr>
                <w:rFonts w:hint="eastAsia" w:ascii="仿宋" w:hAnsi="仿宋" w:eastAsia="仿宋"/>
                <w:sz w:val="32"/>
                <w:szCs w:val="32"/>
              </w:rPr>
              <w:t>:</w:t>
            </w:r>
            <w:r>
              <w:rPr>
                <w:rFonts w:ascii="仿宋" w:hAnsi="仿宋" w:eastAsia="仿宋"/>
                <w:sz w:val="32"/>
                <w:szCs w:val="32"/>
              </w:rPr>
              <w:t>00</w:t>
            </w:r>
          </w:p>
        </w:tc>
        <w:tc>
          <w:tcPr>
            <w:tcW w:w="4615"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签到入场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10</w:t>
            </w:r>
          </w:p>
        </w:tc>
        <w:tc>
          <w:tcPr>
            <w:tcW w:w="4615"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主持人开场、领导致辞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8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10</w:t>
            </w: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30</w:t>
            </w:r>
          </w:p>
        </w:tc>
        <w:tc>
          <w:tcPr>
            <w:tcW w:w="4615"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企业路演，嘉宾点评互动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30</w:t>
            </w: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40</w:t>
            </w:r>
          </w:p>
        </w:tc>
        <w:tc>
          <w:tcPr>
            <w:tcW w:w="4615"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8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40</w:t>
            </w: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00</w:t>
            </w:r>
          </w:p>
        </w:tc>
        <w:tc>
          <w:tcPr>
            <w:tcW w:w="4615"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企业路演，嘉宾点评互动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10</w:t>
            </w:r>
          </w:p>
        </w:tc>
        <w:tc>
          <w:tcPr>
            <w:tcW w:w="4615" w:type="dxa"/>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 w:hAnsi="仿宋" w:eastAsia="仿宋"/>
                <w:sz w:val="32"/>
                <w:szCs w:val="32"/>
              </w:rPr>
            </w:pPr>
            <w:r>
              <w:rPr>
                <w:rFonts w:hint="eastAsia" w:ascii="仿宋" w:hAnsi="仿宋" w:eastAsia="仿宋"/>
                <w:sz w:val="32"/>
                <w:szCs w:val="32"/>
              </w:rPr>
              <w:t>自由交流</w:t>
            </w:r>
          </w:p>
        </w:tc>
      </w:tr>
    </w:tbl>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九、路演规则</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bookmarkStart w:id="0" w:name="_Hlk47607328"/>
      <w:r>
        <w:rPr>
          <w:rFonts w:hint="eastAsia" w:ascii="仿宋" w:hAnsi="仿宋" w:eastAsia="仿宋"/>
          <w:sz w:val="32"/>
          <w:szCs w:val="32"/>
        </w:rPr>
        <w:t>参加本次路演的企业（项目）共为8组，均采用“8+7互动”路演模式，即企业介绍项目8分钟，嘉宾点评问答7分钟。点评嘉宾根据选手的现场表现，综合点评和考察项目内容（包括技术产品、商业模式及实施方案、行业与市场、团队、财务等）。</w:t>
      </w:r>
      <w:bookmarkEnd w:id="0"/>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十、活动宣传及支持</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根据参赛团队或企业的实际情况与需求，有针对性地提供以下支持：</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（一）对参赛项目进行集中宣传和展示，并邀请主流媒体、新媒体及时宣传赛事情况以及优质参赛项目；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（二）为落地的项目（团队）配备创业导师，进行一对一商业模式打磨，并协助对接柳州市各类扶持政策；</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（三）推荐与活动合作投资基金和风险、创业投资机构、知名企业家对接，获得资金支持和资源对接。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十一、</w:t>
      </w:r>
      <w:r>
        <w:rPr>
          <w:rFonts w:hint="eastAsia" w:ascii="黑体" w:hAnsi="黑体" w:eastAsia="黑体" w:cs="黑体"/>
          <w:b w:val="0"/>
          <w:bCs w:val="0"/>
          <w:sz w:val="32"/>
          <w:szCs w:val="32"/>
        </w:rPr>
        <w:t>评审规则及评分表</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outlineLvl w:val="9"/>
        <w:rPr>
          <w:rFonts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rPr>
        <w:t>一</w:t>
      </w:r>
      <w:r>
        <w:rPr>
          <w:rFonts w:hint="eastAsia" w:ascii="仿宋" w:hAnsi="仿宋" w:eastAsia="仿宋"/>
          <w:b/>
          <w:bCs/>
          <w:sz w:val="32"/>
          <w:szCs w:val="32"/>
          <w:lang w:eastAsia="zh-CN"/>
        </w:rPr>
        <w:t>）</w:t>
      </w:r>
      <w:r>
        <w:rPr>
          <w:rFonts w:hint="eastAsia" w:ascii="仿宋" w:hAnsi="仿宋" w:eastAsia="仿宋"/>
          <w:b/>
          <w:bCs/>
          <w:sz w:val="32"/>
          <w:szCs w:val="32"/>
        </w:rPr>
        <w:t>评审要点</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本次项目评审，将主要围绕以下五方面进行。</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ascii="仿宋" w:hAnsi="仿宋" w:eastAsia="仿宋"/>
          <w:sz w:val="32"/>
          <w:szCs w:val="32"/>
        </w:rPr>
        <w:t>技术和产品（30分） 技术是否领先、产品竞争力如何</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eastAsia="zh-CN"/>
        </w:rPr>
        <w:t>.</w:t>
      </w:r>
      <w:r>
        <w:rPr>
          <w:rFonts w:ascii="仿宋" w:hAnsi="仿宋" w:eastAsia="仿宋"/>
          <w:sz w:val="32"/>
          <w:szCs w:val="32"/>
        </w:rPr>
        <w:t>商业模式（15分） 商业模式是否清晰合理</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lang w:eastAsia="zh-CN"/>
        </w:rPr>
        <w:t>.</w:t>
      </w:r>
      <w:r>
        <w:rPr>
          <w:rFonts w:ascii="仿宋" w:hAnsi="仿宋" w:eastAsia="仿宋"/>
          <w:sz w:val="32"/>
          <w:szCs w:val="32"/>
        </w:rPr>
        <w:t>行业及市场（20分） 行业发展前景、市场空间</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lang w:eastAsia="zh-CN"/>
        </w:rPr>
        <w:t>.</w:t>
      </w:r>
      <w:r>
        <w:rPr>
          <w:rFonts w:ascii="仿宋" w:hAnsi="仿宋" w:eastAsia="仿宋"/>
          <w:sz w:val="32"/>
          <w:szCs w:val="32"/>
        </w:rPr>
        <w:t>团队（30分） 团队学历、从业经历、配备完整性</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lang w:eastAsia="zh-CN"/>
        </w:rPr>
        <w:t>.</w:t>
      </w:r>
      <w:r>
        <w:rPr>
          <w:rFonts w:ascii="仿宋" w:hAnsi="仿宋" w:eastAsia="仿宋"/>
          <w:sz w:val="32"/>
          <w:szCs w:val="32"/>
        </w:rPr>
        <w:t>财务分析（5分）营收、利润、毛利率</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outlineLvl w:val="9"/>
        <w:rPr>
          <w:rFonts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rPr>
        <w:t>二</w:t>
      </w:r>
      <w:r>
        <w:rPr>
          <w:rFonts w:hint="eastAsia" w:ascii="仿宋" w:hAnsi="仿宋" w:eastAsia="仿宋"/>
          <w:b/>
          <w:bCs/>
          <w:sz w:val="32"/>
          <w:szCs w:val="32"/>
          <w:lang w:eastAsia="zh-CN"/>
        </w:rPr>
        <w:t>）</w:t>
      </w:r>
      <w:r>
        <w:rPr>
          <w:rFonts w:hint="eastAsia" w:ascii="仿宋" w:hAnsi="仿宋" w:eastAsia="仿宋"/>
          <w:b/>
          <w:bCs/>
          <w:sz w:val="32"/>
          <w:szCs w:val="32"/>
        </w:rPr>
        <w:t>评审流程</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1.每个项目需求5位评委专家参与评审，每位评委专家按评审要点进行评审，于纸质评分表上对项目进行打分；</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2.每位评委专家每评审完一份项目表后，请核对该项目的评分，评分结束后请进行签字确认，并交由现场工作人员进行项目最终得分统计。</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br w:type="page"/>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rPr>
      </w:pPr>
      <w:bookmarkStart w:id="1" w:name="_GoBack"/>
      <w:bookmarkEnd w:id="1"/>
    </w:p>
    <w:tbl>
      <w:tblPr>
        <w:tblStyle w:val="6"/>
        <w:tblW w:w="1020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3298"/>
        <w:gridCol w:w="1275"/>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7" w:type="dxa"/>
            <w:gridSpan w:val="5"/>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【共生·价值】第九届金博奖全球高层次人才科技创新大赛项目</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评审用表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7"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项目名</w:t>
            </w:r>
          </w:p>
        </w:tc>
        <w:tc>
          <w:tcPr>
            <w:tcW w:w="4573" w:type="dxa"/>
            <w:gridSpan w:val="2"/>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路演</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顺序</w:t>
            </w: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7"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b/>
                <w:bCs/>
                <w:sz w:val="32"/>
                <w:szCs w:val="32"/>
              </w:rPr>
            </w:pPr>
            <w:r>
              <w:rPr>
                <w:rFonts w:hint="eastAsia" w:ascii="仿宋_GB2312" w:hAnsi="宋体" w:eastAsia="仿宋_GB2312" w:cs="宋体"/>
                <w:b/>
                <w:bCs/>
                <w:sz w:val="32"/>
                <w:szCs w:val="32"/>
              </w:rPr>
              <w:t>评分项</w:t>
            </w:r>
          </w:p>
        </w:tc>
        <w:tc>
          <w:tcPr>
            <w:tcW w:w="329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b/>
                <w:bCs/>
                <w:sz w:val="32"/>
                <w:szCs w:val="32"/>
              </w:rPr>
            </w:pPr>
            <w:r>
              <w:rPr>
                <w:rFonts w:hint="eastAsia" w:ascii="仿宋_GB2312" w:hAnsi="宋体" w:eastAsia="仿宋_GB2312" w:cs="宋体"/>
                <w:b/>
                <w:bCs/>
                <w:sz w:val="32"/>
                <w:szCs w:val="32"/>
              </w:rPr>
              <w:t>说明</w:t>
            </w:r>
          </w:p>
        </w:tc>
        <w:tc>
          <w:tcPr>
            <w:tcW w:w="127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b/>
                <w:bCs/>
                <w:sz w:val="32"/>
                <w:szCs w:val="32"/>
              </w:rPr>
            </w:pPr>
            <w:r>
              <w:rPr>
                <w:rFonts w:hint="eastAsia" w:ascii="仿宋_GB2312" w:hAnsi="宋体" w:eastAsia="仿宋_GB2312" w:cs="宋体"/>
                <w:b/>
                <w:bCs/>
                <w:sz w:val="32"/>
                <w:szCs w:val="32"/>
              </w:rPr>
              <w:t>满分</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b/>
                <w:bCs/>
                <w:sz w:val="32"/>
                <w:szCs w:val="32"/>
              </w:rPr>
            </w:pPr>
            <w:r>
              <w:rPr>
                <w:rFonts w:hint="eastAsia" w:ascii="仿宋_GB2312" w:hAnsi="宋体" w:eastAsia="仿宋_GB2312" w:cs="宋体"/>
                <w:b/>
                <w:bCs/>
                <w:sz w:val="32"/>
                <w:szCs w:val="32"/>
              </w:rPr>
              <w:t>评分</w:t>
            </w: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b/>
                <w:bCs/>
                <w:sz w:val="32"/>
                <w:szCs w:val="32"/>
              </w:rPr>
            </w:pPr>
            <w:r>
              <w:rPr>
                <w:rFonts w:hint="eastAsia" w:ascii="仿宋_GB2312" w:hAnsi="宋体" w:eastAsia="仿宋_GB2312" w:cs="宋体"/>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7"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技术和产品</w:t>
            </w:r>
          </w:p>
        </w:tc>
        <w:tc>
          <w:tcPr>
            <w:tcW w:w="329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技术是否领先、产品竞争力如何</w:t>
            </w:r>
          </w:p>
        </w:tc>
        <w:tc>
          <w:tcPr>
            <w:tcW w:w="127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3</w:t>
            </w:r>
            <w:r>
              <w:rPr>
                <w:rFonts w:ascii="仿宋_GB2312" w:hAnsi="宋体" w:eastAsia="仿宋_GB2312" w:cs="宋体"/>
                <w:sz w:val="32"/>
                <w:szCs w:val="32"/>
              </w:rPr>
              <w:t>0</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7"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商业模式</w:t>
            </w:r>
          </w:p>
        </w:tc>
        <w:tc>
          <w:tcPr>
            <w:tcW w:w="329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商业模式是否清晰合理</w:t>
            </w:r>
          </w:p>
        </w:tc>
        <w:tc>
          <w:tcPr>
            <w:tcW w:w="127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1</w:t>
            </w:r>
            <w:r>
              <w:rPr>
                <w:rFonts w:ascii="仿宋_GB2312" w:hAnsi="宋体" w:eastAsia="仿宋_GB2312" w:cs="宋体"/>
                <w:sz w:val="32"/>
                <w:szCs w:val="32"/>
              </w:rPr>
              <w:t>5</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7"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行业及市场</w:t>
            </w:r>
          </w:p>
        </w:tc>
        <w:tc>
          <w:tcPr>
            <w:tcW w:w="329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行业发展前景、市场空间</w:t>
            </w:r>
          </w:p>
        </w:tc>
        <w:tc>
          <w:tcPr>
            <w:tcW w:w="127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2</w:t>
            </w:r>
            <w:r>
              <w:rPr>
                <w:rFonts w:ascii="仿宋_GB2312" w:hAnsi="宋体" w:eastAsia="仿宋_GB2312" w:cs="宋体"/>
                <w:sz w:val="32"/>
                <w:szCs w:val="32"/>
              </w:rPr>
              <w:t>0</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7"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团队</w:t>
            </w:r>
          </w:p>
        </w:tc>
        <w:tc>
          <w:tcPr>
            <w:tcW w:w="329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团队学历、从业经历、配备完整性</w:t>
            </w:r>
          </w:p>
        </w:tc>
        <w:tc>
          <w:tcPr>
            <w:tcW w:w="127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3</w:t>
            </w:r>
            <w:r>
              <w:rPr>
                <w:rFonts w:ascii="仿宋_GB2312" w:hAnsi="宋体" w:eastAsia="仿宋_GB2312" w:cs="宋体"/>
                <w:sz w:val="32"/>
                <w:szCs w:val="32"/>
              </w:rPr>
              <w:t>0</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7"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财务分析</w:t>
            </w:r>
          </w:p>
        </w:tc>
        <w:tc>
          <w:tcPr>
            <w:tcW w:w="329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营收、利润、毛利率</w:t>
            </w:r>
          </w:p>
        </w:tc>
        <w:tc>
          <w:tcPr>
            <w:tcW w:w="127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5</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30" w:type="dxa"/>
            <w:gridSpan w:val="3"/>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总分</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30" w:type="dxa"/>
            <w:gridSpan w:val="3"/>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评委签名</w:t>
            </w:r>
          </w:p>
        </w:tc>
        <w:tc>
          <w:tcPr>
            <w:tcW w:w="141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c>
          <w:tcPr>
            <w:tcW w:w="15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ascii="仿宋_GB2312" w:hAnsi="宋体" w:eastAsia="仿宋_GB2312" w:cs="宋体"/>
                <w:sz w:val="32"/>
                <w:szCs w:val="32"/>
              </w:rPr>
            </w:pPr>
          </w:p>
        </w:tc>
      </w:tr>
    </w:tbl>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_GB2312" w:hAnsi="宋体" w:eastAsia="仿宋_GB2312" w:cs="宋体"/>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等线">
    <w:altName w:val="Segoe Print"/>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超粗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04215" cy="467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4215" cy="46736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6.8pt;width:55.45pt;mso-position-horizontal:outside;mso-position-horizontal-relative:margin;z-index:251658240;mso-width-relative:page;mso-height-relative:page;" filled="f" stroked="f" coordsize="21600,21600" o:gfxdata="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3fGFI1gAAAAcB&#10;AAAPAAAAAAAAAAEAIAAAACIAAABkcnMvZG93bnJldi54bWxQSwECFAAUAAAACACHTuJAT4QHisgC&#10;AADWBQAADgAAAAAAAAABACAAAAAlAQAAZHJzL2Uyb0RvYy54bWxQSwUGAAAAAAYABgBZAQAAXwYA&#10;AAAA&#10;">
              <v:fill on="f" focussize="0,0"/>
              <v:stroke on="f" weight="0.5pt"/>
              <v:imagedata o:title=""/>
              <o:lock v:ext="edit" aspectratio="f"/>
              <v:textbox inset="0mm,0mm,0mm,0mm">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45"/>
    <w:rsid w:val="00075818"/>
    <w:rsid w:val="00082410"/>
    <w:rsid w:val="000A4FAB"/>
    <w:rsid w:val="00106A6E"/>
    <w:rsid w:val="00110761"/>
    <w:rsid w:val="00160F66"/>
    <w:rsid w:val="001D1E8A"/>
    <w:rsid w:val="001F1D80"/>
    <w:rsid w:val="00206EB8"/>
    <w:rsid w:val="002B5145"/>
    <w:rsid w:val="00324396"/>
    <w:rsid w:val="003773D0"/>
    <w:rsid w:val="00394320"/>
    <w:rsid w:val="004F50A4"/>
    <w:rsid w:val="004F7C1F"/>
    <w:rsid w:val="00535359"/>
    <w:rsid w:val="005577CE"/>
    <w:rsid w:val="00576C2E"/>
    <w:rsid w:val="005C11D4"/>
    <w:rsid w:val="005E5A43"/>
    <w:rsid w:val="005E5FAE"/>
    <w:rsid w:val="006030C4"/>
    <w:rsid w:val="00637482"/>
    <w:rsid w:val="00796C02"/>
    <w:rsid w:val="007A5A96"/>
    <w:rsid w:val="007A6438"/>
    <w:rsid w:val="007C5354"/>
    <w:rsid w:val="007D2E75"/>
    <w:rsid w:val="007D3124"/>
    <w:rsid w:val="007E26EE"/>
    <w:rsid w:val="007E3363"/>
    <w:rsid w:val="007E4150"/>
    <w:rsid w:val="008B5413"/>
    <w:rsid w:val="008C7EF6"/>
    <w:rsid w:val="009774CC"/>
    <w:rsid w:val="009B246E"/>
    <w:rsid w:val="00A25BE9"/>
    <w:rsid w:val="00A448D3"/>
    <w:rsid w:val="00A74B2D"/>
    <w:rsid w:val="00B43A90"/>
    <w:rsid w:val="00B713F8"/>
    <w:rsid w:val="00BA63B6"/>
    <w:rsid w:val="00BD5CE1"/>
    <w:rsid w:val="00BE2CFB"/>
    <w:rsid w:val="00CA55F1"/>
    <w:rsid w:val="00CA6D14"/>
    <w:rsid w:val="00CF01B4"/>
    <w:rsid w:val="00D21CD0"/>
    <w:rsid w:val="00D65CEC"/>
    <w:rsid w:val="00D87FAC"/>
    <w:rsid w:val="00DA3713"/>
    <w:rsid w:val="00DE175B"/>
    <w:rsid w:val="00DE49B3"/>
    <w:rsid w:val="00E6519D"/>
    <w:rsid w:val="00EB6E9A"/>
    <w:rsid w:val="00F347C5"/>
    <w:rsid w:val="00F773CF"/>
    <w:rsid w:val="00F81593"/>
    <w:rsid w:val="00FD2F1C"/>
    <w:rsid w:val="00FE3CFE"/>
    <w:rsid w:val="00FF30F3"/>
    <w:rsid w:val="5B8A7FA7"/>
    <w:rsid w:val="77FA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 w:type="paragraph" w:customStyle="1" w:styleId="11">
    <w:name w:val="HtmlNormal"/>
    <w:basedOn w:val="1"/>
    <w:qFormat/>
    <w:uiPriority w:val="0"/>
    <w:pPr>
      <w:widowControl/>
      <w:spacing w:beforeAutospacing="1" w:afterAutospacing="1"/>
      <w:jc w:val="left"/>
      <w:textAlignment w:val="baseline"/>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B4FA9-C11E-4412-BB88-A22C2CAC96C8}">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705</Words>
  <Characters>4019</Characters>
  <Lines>33</Lines>
  <Paragraphs>9</Paragraphs>
  <TotalTime>4</TotalTime>
  <ScaleCrop>false</ScaleCrop>
  <LinksUpToDate>false</LinksUpToDate>
  <CharactersWithSpaces>4715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2020-11-23T07:30:00Z</dcterms:created>
  <dc:creator>ning qing</dc:creator>
  <cp:lastModifiedBy>kjj04</cp:lastModifiedBy>
  <dcterms:modified xsi:type="dcterms:W3CDTF">2020-11-30T00:49:18Z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