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D5B" w:rsidRDefault="00B54D5B" w:rsidP="00B54D5B">
      <w:pPr>
        <w:spacing w:line="560" w:lineRule="exact"/>
        <w:rPr>
          <w:rFonts w:ascii="仿宋_GB2312"/>
          <w:szCs w:val="32"/>
        </w:rPr>
      </w:pPr>
      <w:r>
        <w:rPr>
          <w:rFonts w:ascii="仿宋_GB2312" w:hint="eastAsia"/>
          <w:szCs w:val="32"/>
        </w:rPr>
        <w:t>附件</w:t>
      </w:r>
    </w:p>
    <w:p w:rsidR="00B54D5B" w:rsidRDefault="00B54D5B" w:rsidP="00B54D5B">
      <w:pPr>
        <w:spacing w:line="560" w:lineRule="exact"/>
        <w:rPr>
          <w:rFonts w:ascii="仿宋_GB2312"/>
          <w:szCs w:val="32"/>
        </w:rPr>
      </w:pPr>
    </w:p>
    <w:p w:rsidR="00B54D5B" w:rsidRDefault="00B54D5B" w:rsidP="00B54D5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工作目标涉及指标说明</w:t>
      </w:r>
    </w:p>
    <w:p w:rsidR="00B54D5B" w:rsidRDefault="00B54D5B" w:rsidP="00B54D5B">
      <w:pPr>
        <w:spacing w:line="560" w:lineRule="exact"/>
        <w:rPr>
          <w:rFonts w:ascii="仿宋_GB2312"/>
          <w:szCs w:val="32"/>
        </w:rPr>
      </w:pPr>
    </w:p>
    <w:p w:rsidR="00B54D5B" w:rsidRDefault="00B54D5B" w:rsidP="00B54D5B">
      <w:pPr>
        <w:spacing w:line="560" w:lineRule="exact"/>
        <w:ind w:firstLineChars="200" w:firstLine="632"/>
        <w:rPr>
          <w:rFonts w:ascii="黑体" w:eastAsia="黑体" w:hAnsi="仿宋_GB2312" w:cs="仿宋_GB2312"/>
          <w:szCs w:val="32"/>
        </w:rPr>
      </w:pPr>
      <w:r>
        <w:rPr>
          <w:rFonts w:ascii="黑体" w:eastAsia="黑体" w:hAnsi="仿宋_GB2312" w:cs="仿宋_GB2312" w:hint="eastAsia"/>
          <w:szCs w:val="32"/>
        </w:rPr>
        <w:t>指标1</w:t>
      </w:r>
    </w:p>
    <w:p w:rsidR="00B54D5B" w:rsidRDefault="00B54D5B" w:rsidP="00B54D5B">
      <w:pPr>
        <w:spacing w:line="560" w:lineRule="exact"/>
        <w:ind w:firstLineChars="200" w:firstLine="634"/>
        <w:rPr>
          <w:rFonts w:ascii="楷体_GB2312" w:eastAsia="楷体_GB2312" w:hAnsi="仿宋_GB2312" w:cs="仿宋_GB2312"/>
          <w:b/>
          <w:szCs w:val="32"/>
        </w:rPr>
      </w:pPr>
      <w:r>
        <w:rPr>
          <w:rFonts w:ascii="楷体_GB2312" w:eastAsia="楷体_GB2312" w:hAnsi="仿宋_GB2312" w:cs="仿宋_GB2312" w:hint="eastAsia"/>
          <w:b/>
          <w:szCs w:val="32"/>
        </w:rPr>
        <w:t>全省中小</w:t>
      </w:r>
      <w:proofErr w:type="gramStart"/>
      <w:r>
        <w:rPr>
          <w:rFonts w:ascii="楷体_GB2312" w:eastAsia="楷体_GB2312" w:hAnsi="仿宋_GB2312" w:cs="仿宋_GB2312" w:hint="eastAsia"/>
          <w:b/>
          <w:szCs w:val="32"/>
        </w:rPr>
        <w:t>微企业</w:t>
      </w:r>
      <w:proofErr w:type="gramEnd"/>
      <w:r>
        <w:rPr>
          <w:rFonts w:ascii="楷体_GB2312" w:eastAsia="楷体_GB2312" w:hAnsi="仿宋_GB2312" w:cs="仿宋_GB2312" w:hint="eastAsia"/>
          <w:b/>
          <w:szCs w:val="32"/>
        </w:rPr>
        <w:t>接受相关主体转让、许可、作价入股的专利数量、成交金额、实际到账金额及年均增幅</w:t>
      </w:r>
    </w:p>
    <w:p w:rsidR="00B54D5B" w:rsidRDefault="00B54D5B" w:rsidP="00B54D5B">
      <w:pPr>
        <w:spacing w:line="560" w:lineRule="exact"/>
        <w:ind w:firstLineChars="200" w:firstLine="632"/>
        <w:rPr>
          <w:rFonts w:ascii="仿宋_GB2312" w:hAnsi="仿宋_GB2312" w:cs="仿宋_GB2312" w:hint="eastAsia"/>
          <w:szCs w:val="32"/>
        </w:rPr>
      </w:pPr>
      <w:r>
        <w:rPr>
          <w:rFonts w:ascii="仿宋_GB2312" w:hAnsi="仿宋_GB2312" w:cs="仿宋_GB2312" w:hint="eastAsia"/>
          <w:szCs w:val="32"/>
        </w:rPr>
        <w:t>其中涉及的专利指截至统计日，同时满足以下条件的发明、实用新型、外观设计专利：</w:t>
      </w:r>
    </w:p>
    <w:p w:rsidR="00B54D5B" w:rsidRDefault="00B54D5B" w:rsidP="00B54D5B">
      <w:pPr>
        <w:spacing w:line="560" w:lineRule="exact"/>
        <w:ind w:firstLineChars="200" w:firstLine="632"/>
        <w:rPr>
          <w:rFonts w:ascii="仿宋_GB2312" w:hAnsi="仿宋_GB2312" w:cs="仿宋_GB2312"/>
          <w:szCs w:val="32"/>
        </w:rPr>
      </w:pPr>
      <w:r>
        <w:rPr>
          <w:rFonts w:ascii="仿宋_GB2312" w:hAnsi="仿宋_GB2312" w:cs="仿宋_GB2312" w:hint="eastAsia"/>
          <w:szCs w:val="32"/>
        </w:rPr>
        <w:t>1.受让方、被许可方为以国家知识产权局专利登记簿记载的地址为本省的中小微企业，且转让后为第一专利权人；</w:t>
      </w:r>
    </w:p>
    <w:p w:rsidR="00B54D5B" w:rsidRDefault="00B54D5B" w:rsidP="00B54D5B">
      <w:pPr>
        <w:spacing w:line="560" w:lineRule="exact"/>
        <w:ind w:firstLineChars="200" w:firstLine="632"/>
        <w:rPr>
          <w:rFonts w:ascii="仿宋_GB2312" w:hAnsi="仿宋_GB2312" w:cs="仿宋_GB2312"/>
          <w:szCs w:val="32"/>
        </w:rPr>
      </w:pPr>
      <w:r>
        <w:rPr>
          <w:rFonts w:ascii="仿宋_GB2312" w:hAnsi="仿宋_GB2312" w:cs="仿宋_GB2312" w:hint="eastAsia"/>
          <w:szCs w:val="32"/>
        </w:rPr>
        <w:t>2.出让方、许可方专利权人为高等学校、科研机构、国有企业，且为第一专利权人，含高等学校设立的研究院等，国有企业主要指中央企业和省属国有企业；</w:t>
      </w:r>
    </w:p>
    <w:p w:rsidR="00B54D5B" w:rsidRDefault="00B54D5B" w:rsidP="00B54D5B">
      <w:pPr>
        <w:spacing w:line="560" w:lineRule="exact"/>
        <w:ind w:firstLineChars="200" w:firstLine="632"/>
        <w:rPr>
          <w:rFonts w:ascii="仿宋_GB2312" w:hAnsi="仿宋_GB2312" w:cs="仿宋_GB2312" w:hint="eastAsia"/>
          <w:szCs w:val="32"/>
        </w:rPr>
      </w:pPr>
      <w:r>
        <w:rPr>
          <w:rFonts w:ascii="仿宋_GB2312" w:hAnsi="仿宋_GB2312" w:cs="仿宋_GB2312" w:hint="eastAsia"/>
          <w:szCs w:val="32"/>
        </w:rPr>
        <w:t>3.专利权转移或许可经国家知识产权局公告或备案合格的。</w:t>
      </w:r>
    </w:p>
    <w:p w:rsidR="00B54D5B" w:rsidRDefault="00B54D5B" w:rsidP="00B54D5B">
      <w:pPr>
        <w:spacing w:line="560" w:lineRule="exact"/>
        <w:ind w:firstLineChars="200" w:firstLine="632"/>
        <w:rPr>
          <w:rFonts w:ascii="仿宋_GB2312" w:hAnsi="仿宋_GB2312" w:cs="仿宋_GB2312"/>
          <w:szCs w:val="32"/>
        </w:rPr>
      </w:pPr>
      <w:r>
        <w:rPr>
          <w:rFonts w:ascii="仿宋_GB2312" w:hAnsi="仿宋_GB2312" w:cs="仿宋_GB2312" w:hint="eastAsia"/>
          <w:szCs w:val="32"/>
        </w:rPr>
        <w:t>成交金额</w:t>
      </w:r>
      <w:proofErr w:type="gramStart"/>
      <w:r>
        <w:rPr>
          <w:rFonts w:ascii="仿宋_GB2312" w:hAnsi="仿宋_GB2312" w:cs="仿宋_GB2312" w:hint="eastAsia"/>
          <w:szCs w:val="32"/>
        </w:rPr>
        <w:t>指相关</w:t>
      </w:r>
      <w:proofErr w:type="gramEnd"/>
      <w:r>
        <w:rPr>
          <w:rFonts w:ascii="仿宋_GB2312" w:hAnsi="仿宋_GB2312" w:cs="仿宋_GB2312" w:hint="eastAsia"/>
          <w:szCs w:val="32"/>
        </w:rPr>
        <w:t>专利在国家知识产权局办理专利权转移或许可合同备案手续时提交的真实有效合同记录的金额；实际到账金额以中小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支付的专利转让、许可费用计算，需要提供发票、收付款凭证、转账记录等证明材料。</w:t>
      </w:r>
    </w:p>
    <w:p w:rsidR="00B54D5B" w:rsidRDefault="00B54D5B" w:rsidP="00B54D5B">
      <w:pPr>
        <w:spacing w:line="560" w:lineRule="exact"/>
        <w:ind w:firstLineChars="200" w:firstLine="632"/>
        <w:rPr>
          <w:rFonts w:ascii="黑体" w:eastAsia="黑体" w:hAnsi="仿宋_GB2312" w:cs="仿宋_GB2312"/>
          <w:szCs w:val="32"/>
        </w:rPr>
      </w:pPr>
      <w:r>
        <w:rPr>
          <w:rFonts w:ascii="黑体" w:eastAsia="黑体" w:hAnsi="仿宋_GB2312" w:cs="仿宋_GB2312" w:hint="eastAsia"/>
          <w:szCs w:val="32"/>
        </w:rPr>
        <w:t>指标2</w:t>
      </w:r>
    </w:p>
    <w:p w:rsidR="00B54D5B" w:rsidRPr="00406B05" w:rsidRDefault="00B54D5B" w:rsidP="00B54D5B">
      <w:pPr>
        <w:spacing w:line="560" w:lineRule="exact"/>
        <w:ind w:firstLineChars="200" w:firstLine="634"/>
        <w:rPr>
          <w:rFonts w:ascii="楷体_GB2312" w:eastAsia="楷体_GB2312" w:hAnsi="仿宋_GB2312" w:cs="仿宋_GB2312" w:hint="eastAsia"/>
          <w:b/>
          <w:szCs w:val="32"/>
        </w:rPr>
      </w:pPr>
      <w:r w:rsidRPr="00406B05">
        <w:rPr>
          <w:rFonts w:ascii="楷体_GB2312" w:eastAsia="楷体_GB2312" w:hAnsi="仿宋_GB2312" w:cs="仿宋_GB2312" w:hint="eastAsia"/>
          <w:b/>
          <w:szCs w:val="32"/>
        </w:rPr>
        <w:t>全省高校院所专利转让、许可、作价入股的专利数量、成交金额、实际到账金额及年均增幅</w:t>
      </w:r>
    </w:p>
    <w:p w:rsidR="00B54D5B" w:rsidRDefault="00B54D5B" w:rsidP="00B54D5B">
      <w:pPr>
        <w:spacing w:line="560" w:lineRule="exact"/>
        <w:ind w:firstLineChars="200" w:firstLine="632"/>
        <w:rPr>
          <w:rFonts w:ascii="仿宋_GB2312" w:hAnsi="仿宋_GB2312" w:cs="仿宋_GB2312" w:hint="eastAsia"/>
          <w:szCs w:val="32"/>
        </w:rPr>
      </w:pPr>
      <w:r>
        <w:rPr>
          <w:rFonts w:ascii="仿宋_GB2312" w:hAnsi="仿宋_GB2312" w:cs="仿宋_GB2312" w:hint="eastAsia"/>
          <w:szCs w:val="32"/>
        </w:rPr>
        <w:t>其中涉及的专利指截至统计日，同时满足以下条件的发明、</w:t>
      </w:r>
      <w:r>
        <w:rPr>
          <w:rFonts w:ascii="仿宋_GB2312" w:hAnsi="仿宋_GB2312" w:cs="仿宋_GB2312" w:hint="eastAsia"/>
          <w:szCs w:val="32"/>
        </w:rPr>
        <w:lastRenderedPageBreak/>
        <w:t>实用新型、外观设计专利：</w:t>
      </w:r>
    </w:p>
    <w:p w:rsidR="00B54D5B" w:rsidRDefault="00B54D5B" w:rsidP="00B54D5B">
      <w:pPr>
        <w:spacing w:line="560" w:lineRule="exact"/>
        <w:ind w:firstLineChars="200" w:firstLine="632"/>
        <w:rPr>
          <w:rFonts w:ascii="仿宋_GB2312" w:hAnsi="仿宋_GB2312" w:cs="仿宋_GB2312"/>
          <w:szCs w:val="32"/>
        </w:rPr>
      </w:pPr>
      <w:r>
        <w:rPr>
          <w:rFonts w:ascii="仿宋_GB2312" w:hAnsi="仿宋_GB2312" w:cs="仿宋_GB2312" w:hint="eastAsia"/>
          <w:szCs w:val="32"/>
        </w:rPr>
        <w:t>1.出让方、许可方为以国家知识产权局专利登记簿记载的地址为本省的高等学校、科研机构，且为第一专利权人，含高等学校设立的研究院等；</w:t>
      </w:r>
    </w:p>
    <w:p w:rsidR="00B54D5B" w:rsidRDefault="00B54D5B" w:rsidP="00B54D5B">
      <w:pPr>
        <w:spacing w:line="560" w:lineRule="exact"/>
        <w:ind w:firstLineChars="200" w:firstLine="632"/>
        <w:rPr>
          <w:rFonts w:ascii="仿宋_GB2312" w:hAnsi="仿宋_GB2312" w:cs="仿宋_GB2312" w:hint="eastAsia"/>
          <w:szCs w:val="32"/>
        </w:rPr>
      </w:pPr>
      <w:r>
        <w:rPr>
          <w:rFonts w:ascii="仿宋_GB2312" w:hAnsi="仿宋_GB2312" w:cs="仿宋_GB2312" w:hint="eastAsia"/>
          <w:szCs w:val="32"/>
        </w:rPr>
        <w:t>2.专利权转移或许可经国家知识产权局公告或备案合格的。</w:t>
      </w:r>
    </w:p>
    <w:p w:rsidR="00B54D5B" w:rsidRPr="00406B05" w:rsidRDefault="00B54D5B" w:rsidP="00B54D5B">
      <w:pPr>
        <w:spacing w:line="560" w:lineRule="exact"/>
        <w:ind w:firstLineChars="200" w:firstLine="632"/>
        <w:rPr>
          <w:rFonts w:ascii="仿宋_GB2312" w:hAnsi="仿宋_GB2312" w:cs="仿宋_GB2312" w:hint="eastAsia"/>
          <w:b/>
          <w:szCs w:val="32"/>
        </w:rPr>
      </w:pPr>
      <w:r>
        <w:rPr>
          <w:rFonts w:ascii="仿宋_GB2312" w:hAnsi="仿宋_GB2312" w:cs="仿宋_GB2312" w:hint="eastAsia"/>
          <w:szCs w:val="32"/>
        </w:rPr>
        <w:t>成交金额</w:t>
      </w:r>
      <w:proofErr w:type="gramStart"/>
      <w:r>
        <w:rPr>
          <w:rFonts w:ascii="仿宋_GB2312" w:hAnsi="仿宋_GB2312" w:cs="仿宋_GB2312" w:hint="eastAsia"/>
          <w:szCs w:val="32"/>
        </w:rPr>
        <w:t>指相关</w:t>
      </w:r>
      <w:proofErr w:type="gramEnd"/>
      <w:r>
        <w:rPr>
          <w:rFonts w:ascii="仿宋_GB2312" w:hAnsi="仿宋_GB2312" w:cs="仿宋_GB2312" w:hint="eastAsia"/>
          <w:szCs w:val="32"/>
        </w:rPr>
        <w:t>专利在国家知识产权局办理专利权转移或许可合同备案手续时提交的真实有效合同记录的金额；实际到账金额以高等学校、科研机构收到的专利转让、许可费用计算，需要提供发票、收付款凭证、转账记录等证明材料。</w:t>
      </w:r>
    </w:p>
    <w:p w:rsidR="00B54D5B" w:rsidRDefault="00B54D5B" w:rsidP="00B54D5B">
      <w:pPr>
        <w:spacing w:line="560" w:lineRule="exact"/>
        <w:ind w:firstLineChars="200" w:firstLine="632"/>
        <w:rPr>
          <w:rFonts w:ascii="黑体" w:eastAsia="黑体" w:hAnsi="仿宋_GB2312" w:cs="仿宋_GB2312"/>
          <w:szCs w:val="32"/>
        </w:rPr>
      </w:pPr>
      <w:r>
        <w:rPr>
          <w:rFonts w:ascii="黑体" w:eastAsia="黑体" w:hAnsi="仿宋_GB2312" w:cs="仿宋_GB2312" w:hint="eastAsia"/>
          <w:szCs w:val="32"/>
        </w:rPr>
        <w:t>指标3</w:t>
      </w:r>
    </w:p>
    <w:p w:rsidR="00B54D5B" w:rsidRDefault="00B54D5B" w:rsidP="00B54D5B">
      <w:pPr>
        <w:spacing w:line="560" w:lineRule="exact"/>
        <w:ind w:firstLineChars="200" w:firstLine="634"/>
        <w:rPr>
          <w:rFonts w:ascii="楷体_GB2312" w:eastAsia="楷体_GB2312" w:hAnsi="仿宋_GB2312" w:cs="仿宋_GB2312"/>
          <w:b/>
          <w:szCs w:val="32"/>
        </w:rPr>
      </w:pPr>
      <w:r>
        <w:rPr>
          <w:rFonts w:ascii="楷体_GB2312" w:eastAsia="楷体_GB2312" w:hAnsi="仿宋_GB2312" w:cs="仿宋_GB2312" w:hint="eastAsia"/>
          <w:b/>
          <w:szCs w:val="32"/>
        </w:rPr>
        <w:t>政策惠及的省内中小</w:t>
      </w:r>
      <w:proofErr w:type="gramStart"/>
      <w:r>
        <w:rPr>
          <w:rFonts w:ascii="楷体_GB2312" w:eastAsia="楷体_GB2312" w:hAnsi="仿宋_GB2312" w:cs="仿宋_GB2312" w:hint="eastAsia"/>
          <w:b/>
          <w:szCs w:val="32"/>
        </w:rPr>
        <w:t>微企业</w:t>
      </w:r>
      <w:proofErr w:type="gramEnd"/>
      <w:r>
        <w:rPr>
          <w:rFonts w:ascii="楷体_GB2312" w:eastAsia="楷体_GB2312" w:hAnsi="仿宋_GB2312" w:cs="仿宋_GB2312" w:hint="eastAsia"/>
          <w:b/>
          <w:szCs w:val="32"/>
        </w:rPr>
        <w:t>数量及其营业收入、就业人数增长幅度</w:t>
      </w:r>
    </w:p>
    <w:p w:rsidR="00B54D5B" w:rsidRDefault="00B54D5B" w:rsidP="00B54D5B">
      <w:pPr>
        <w:spacing w:line="560" w:lineRule="exact"/>
        <w:ind w:firstLineChars="200" w:firstLine="632"/>
        <w:rPr>
          <w:rFonts w:ascii="仿宋_GB2312" w:hAnsi="仿宋_GB2312" w:cs="仿宋_GB2312"/>
          <w:szCs w:val="32"/>
        </w:rPr>
      </w:pPr>
      <w:r>
        <w:rPr>
          <w:rFonts w:ascii="仿宋_GB2312" w:hAnsi="仿宋_GB2312" w:cs="仿宋_GB2312" w:hint="eastAsia"/>
          <w:szCs w:val="32"/>
        </w:rPr>
        <w:t>其中政策惠及的中小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数量是指：</w:t>
      </w:r>
    </w:p>
    <w:p w:rsidR="00B54D5B" w:rsidRDefault="00B54D5B" w:rsidP="00B54D5B">
      <w:pPr>
        <w:spacing w:line="560" w:lineRule="exact"/>
        <w:ind w:firstLineChars="200" w:firstLine="632"/>
        <w:rPr>
          <w:rFonts w:ascii="仿宋_GB2312" w:hAnsi="仿宋_GB2312" w:cs="仿宋_GB2312"/>
          <w:szCs w:val="32"/>
        </w:rPr>
      </w:pPr>
      <w:r>
        <w:rPr>
          <w:rFonts w:ascii="仿宋_GB2312" w:hAnsi="仿宋_GB2312" w:cs="仿宋_GB2312" w:hint="eastAsia"/>
          <w:szCs w:val="32"/>
        </w:rPr>
        <w:t>1.指标1中的涉及中小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数量；</w:t>
      </w:r>
    </w:p>
    <w:p w:rsidR="00B54D5B" w:rsidRDefault="00B54D5B" w:rsidP="00B54D5B">
      <w:pPr>
        <w:spacing w:line="560" w:lineRule="exact"/>
        <w:ind w:firstLineChars="200" w:firstLine="632"/>
        <w:rPr>
          <w:rFonts w:ascii="仿宋_GB2312" w:hAnsi="仿宋_GB2312" w:cs="仿宋_GB2312"/>
          <w:szCs w:val="32"/>
        </w:rPr>
      </w:pPr>
      <w:r>
        <w:rPr>
          <w:rFonts w:ascii="仿宋_GB2312" w:hAnsi="仿宋_GB2312" w:cs="仿宋_GB2312" w:hint="eastAsia"/>
          <w:szCs w:val="32"/>
        </w:rPr>
        <w:t>2.有关省份印发的实施方案中，所实施政策覆盖的中小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数量，相关政策需要直接与促进专利技术转移转化、助力中小企业创新发展相关。</w:t>
      </w:r>
    </w:p>
    <w:p w:rsidR="00B54D5B" w:rsidRDefault="00B54D5B" w:rsidP="00B54D5B">
      <w:pPr>
        <w:spacing w:line="560" w:lineRule="exact"/>
        <w:ind w:firstLineChars="200" w:firstLine="632"/>
        <w:rPr>
          <w:rFonts w:ascii="仿宋_GB2312" w:hAnsi="仿宋_GB2312" w:cs="仿宋_GB2312"/>
          <w:szCs w:val="32"/>
        </w:rPr>
      </w:pPr>
      <w:r>
        <w:rPr>
          <w:rFonts w:ascii="仿宋_GB2312" w:hAnsi="仿宋_GB2312" w:cs="仿宋_GB2312" w:hint="eastAsia"/>
          <w:szCs w:val="32"/>
        </w:rPr>
        <w:t>营业收入、就业人数通过国家知识产权局对惠及企业进行抽样调查获得。</w:t>
      </w:r>
    </w:p>
    <w:p w:rsidR="00B54D5B" w:rsidRPr="00406B05" w:rsidRDefault="00B54D5B" w:rsidP="00B54D5B">
      <w:pPr>
        <w:spacing w:line="560" w:lineRule="exact"/>
        <w:ind w:firstLineChars="200" w:firstLine="632"/>
        <w:rPr>
          <w:rFonts w:ascii="黑体" w:eastAsia="黑体" w:hAnsi="黑体" w:cs="仿宋_GB2312" w:hint="eastAsia"/>
          <w:szCs w:val="32"/>
        </w:rPr>
      </w:pPr>
      <w:r w:rsidRPr="00406B05">
        <w:rPr>
          <w:rFonts w:ascii="黑体" w:eastAsia="黑体" w:hAnsi="黑体" w:cs="仿宋_GB2312" w:hint="eastAsia"/>
          <w:szCs w:val="32"/>
        </w:rPr>
        <w:t>指标4</w:t>
      </w:r>
    </w:p>
    <w:p w:rsidR="00B54D5B" w:rsidRDefault="00B54D5B" w:rsidP="00B54D5B">
      <w:pPr>
        <w:spacing w:line="560" w:lineRule="exact"/>
        <w:ind w:firstLineChars="200" w:firstLine="634"/>
        <w:rPr>
          <w:rFonts w:ascii="楷体_GB2312" w:eastAsia="楷体_GB2312" w:hAnsi="仿宋_GB2312" w:cs="仿宋_GB2312"/>
          <w:b/>
          <w:szCs w:val="32"/>
        </w:rPr>
      </w:pPr>
      <w:r>
        <w:rPr>
          <w:rFonts w:ascii="楷体_GB2312" w:eastAsia="楷体_GB2312" w:hAnsi="仿宋_GB2312" w:cs="仿宋_GB2312" w:hint="eastAsia"/>
          <w:b/>
          <w:szCs w:val="32"/>
        </w:rPr>
        <w:t>全省相关中小</w:t>
      </w:r>
      <w:proofErr w:type="gramStart"/>
      <w:r>
        <w:rPr>
          <w:rFonts w:ascii="楷体_GB2312" w:eastAsia="楷体_GB2312" w:hAnsi="仿宋_GB2312" w:cs="仿宋_GB2312" w:hint="eastAsia"/>
          <w:b/>
          <w:szCs w:val="32"/>
        </w:rPr>
        <w:t>微企业</w:t>
      </w:r>
      <w:proofErr w:type="gramEnd"/>
      <w:r>
        <w:rPr>
          <w:rFonts w:ascii="楷体_GB2312" w:eastAsia="楷体_GB2312" w:hAnsi="仿宋_GB2312" w:cs="仿宋_GB2312" w:hint="eastAsia"/>
          <w:b/>
          <w:szCs w:val="32"/>
        </w:rPr>
        <w:t>专利产品备案和相关专利实施情况</w:t>
      </w:r>
    </w:p>
    <w:p w:rsidR="00B54D5B" w:rsidRDefault="00B54D5B" w:rsidP="00B54D5B">
      <w:pPr>
        <w:spacing w:line="560" w:lineRule="exact"/>
        <w:ind w:firstLineChars="200" w:firstLine="632"/>
        <w:rPr>
          <w:rFonts w:ascii="仿宋_GB2312" w:hAnsi="仿宋_GB2312" w:cs="仿宋_GB2312"/>
          <w:szCs w:val="32"/>
        </w:rPr>
      </w:pPr>
      <w:r>
        <w:rPr>
          <w:rFonts w:ascii="仿宋_GB2312" w:hAnsi="仿宋_GB2312" w:cs="仿宋_GB2312" w:hint="eastAsia"/>
          <w:szCs w:val="32"/>
        </w:rPr>
        <w:t>其中相关中小微企业</w:t>
      </w:r>
      <w:proofErr w:type="gramStart"/>
      <w:r>
        <w:rPr>
          <w:rFonts w:ascii="仿宋_GB2312" w:hAnsi="仿宋_GB2312" w:cs="仿宋_GB2312" w:hint="eastAsia"/>
          <w:szCs w:val="32"/>
        </w:rPr>
        <w:t>指</w:t>
      </w:r>
      <w:proofErr w:type="gramEnd"/>
      <w:r>
        <w:rPr>
          <w:rFonts w:ascii="仿宋_GB2312" w:hAnsi="仿宋_GB2312" w:cs="仿宋_GB2312" w:hint="eastAsia"/>
          <w:szCs w:val="32"/>
        </w:rPr>
        <w:t>指标1中的中小微企业。</w:t>
      </w:r>
    </w:p>
    <w:p w:rsidR="00B54D5B" w:rsidRDefault="00B54D5B" w:rsidP="00B54D5B">
      <w:pPr>
        <w:spacing w:line="560" w:lineRule="exact"/>
        <w:ind w:firstLineChars="200" w:firstLine="632"/>
        <w:rPr>
          <w:rFonts w:ascii="仿宋_GB2312" w:hAnsi="仿宋_GB2312" w:cs="仿宋_GB2312"/>
          <w:szCs w:val="32"/>
        </w:rPr>
      </w:pPr>
      <w:r>
        <w:rPr>
          <w:rFonts w:ascii="仿宋_GB2312" w:hAnsi="仿宋_GB2312" w:cs="仿宋_GB2312" w:hint="eastAsia"/>
          <w:szCs w:val="32"/>
        </w:rPr>
        <w:t>专利产品指在国家知识产权局开发的专利产品备案系统中进</w:t>
      </w:r>
      <w:r>
        <w:rPr>
          <w:rFonts w:ascii="仿宋_GB2312" w:hAnsi="仿宋_GB2312" w:cs="仿宋_GB2312" w:hint="eastAsia"/>
          <w:szCs w:val="32"/>
        </w:rPr>
        <w:lastRenderedPageBreak/>
        <w:t>行备案声明的产品，具体事宜将在系统完成开发后另行通知。</w:t>
      </w:r>
    </w:p>
    <w:p w:rsidR="00B54D5B" w:rsidRDefault="00B54D5B" w:rsidP="00B54D5B">
      <w:pPr>
        <w:spacing w:line="560" w:lineRule="exact"/>
        <w:ind w:firstLineChars="200" w:firstLine="632"/>
        <w:rPr>
          <w:rFonts w:ascii="黑体" w:eastAsia="黑体" w:hAnsi="仿宋_GB2312" w:cs="仿宋_GB2312"/>
          <w:szCs w:val="32"/>
        </w:rPr>
      </w:pPr>
      <w:r>
        <w:rPr>
          <w:rFonts w:ascii="黑体" w:eastAsia="黑体" w:hAnsi="仿宋_GB2312" w:cs="仿宋_GB2312" w:hint="eastAsia"/>
          <w:szCs w:val="32"/>
        </w:rPr>
        <w:t>指标5</w:t>
      </w:r>
    </w:p>
    <w:p w:rsidR="00B54D5B" w:rsidRDefault="00B54D5B" w:rsidP="00B54D5B">
      <w:pPr>
        <w:spacing w:line="560" w:lineRule="exact"/>
        <w:ind w:firstLineChars="200" w:firstLine="634"/>
        <w:rPr>
          <w:rFonts w:ascii="楷体_GB2312" w:eastAsia="楷体_GB2312" w:hAnsi="仿宋_GB2312" w:cs="仿宋_GB2312"/>
          <w:b/>
          <w:szCs w:val="32"/>
        </w:rPr>
      </w:pPr>
      <w:r>
        <w:rPr>
          <w:rFonts w:ascii="楷体_GB2312" w:eastAsia="楷体_GB2312" w:hAnsi="仿宋_GB2312" w:cs="仿宋_GB2312" w:hint="eastAsia"/>
          <w:b/>
          <w:szCs w:val="32"/>
        </w:rPr>
        <w:t>全省专利质押融资金额及年均增幅，专利质押项目数及年均增幅</w:t>
      </w:r>
    </w:p>
    <w:p w:rsidR="00B54D5B" w:rsidRDefault="00B54D5B" w:rsidP="00B54D5B">
      <w:pPr>
        <w:spacing w:line="560" w:lineRule="exact"/>
        <w:ind w:firstLineChars="200" w:firstLine="632"/>
        <w:rPr>
          <w:rFonts w:ascii="仿宋_GB2312" w:hAnsi="仿宋_GB2312" w:cs="仿宋_GB2312"/>
          <w:szCs w:val="32"/>
        </w:rPr>
      </w:pPr>
      <w:r>
        <w:rPr>
          <w:rFonts w:ascii="仿宋_GB2312" w:hAnsi="仿宋_GB2312" w:cs="仿宋_GB2312" w:hint="eastAsia"/>
          <w:szCs w:val="32"/>
        </w:rPr>
        <w:t>其中专利质押融资金额、项目数是指截至统计日，在国家知识产权局办理质押登记合格的金额、项目数；专利质押融资金额还可包括银保监会提供的专利质押贷款余额。</w:t>
      </w:r>
    </w:p>
    <w:p w:rsidR="00B54D5B" w:rsidRPr="000638CF" w:rsidRDefault="00B54D5B" w:rsidP="00B54D5B">
      <w:pPr>
        <w:ind w:right="283" w:firstLine="300"/>
        <w:jc w:val="left"/>
        <w:rPr>
          <w:rFonts w:hint="eastAsia"/>
          <w:szCs w:val="32"/>
        </w:rPr>
      </w:pPr>
    </w:p>
    <w:p w:rsidR="00180C69" w:rsidRPr="00B54D5B" w:rsidRDefault="00B54D5B"/>
    <w:sectPr w:rsidR="00180C69" w:rsidRPr="00B54D5B">
      <w:footerReference w:type="even" r:id="rId4"/>
      <w:footerReference w:type="default" r:id="rId5"/>
      <w:pgSz w:w="11906" w:h="16838"/>
      <w:pgMar w:top="1644" w:right="1480" w:bottom="1985" w:left="1480" w:header="851" w:footer="1134"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71F" w:rsidRDefault="00B54D5B">
    <w:pPr>
      <w:pStyle w:val="a4"/>
      <w:framePr w:w="1596" w:wrap="around" w:vAnchor="text" w:hAnchor="page" w:x="9076" w:y="-85"/>
      <w:spacing w:line="240" w:lineRule="auto"/>
      <w:jc w:val="both"/>
      <w:rPr>
        <w:rStyle w:val="a3"/>
        <w:rFonts w:hint="eastAsia"/>
        <w:sz w:val="28"/>
      </w:rPr>
    </w:pPr>
    <w:r>
      <w:rPr>
        <w:rStyle w:val="a3"/>
        <w:rFonts w:ascii="仿宋_GB2312" w:hint="eastAsia"/>
        <w:sz w:val="28"/>
      </w:rPr>
      <w:t>—</w:t>
    </w:r>
    <w:r>
      <w:rPr>
        <w:rStyle w:val="a3"/>
        <w:rFonts w:ascii="仿宋_GB2312" w:hint="eastAsia"/>
        <w:sz w:val="28"/>
      </w:rPr>
      <w:t xml:space="preserve"> </w:t>
    </w:r>
    <w:r>
      <w:rPr>
        <w:sz w:val="28"/>
      </w:rPr>
      <w:fldChar w:fldCharType="begin"/>
    </w:r>
    <w:r>
      <w:rPr>
        <w:rStyle w:val="a3"/>
        <w:sz w:val="28"/>
      </w:rPr>
      <w:instrText xml:space="preserve">PAGE  </w:instrText>
    </w:r>
    <w:r>
      <w:rPr>
        <w:sz w:val="28"/>
      </w:rPr>
      <w:fldChar w:fldCharType="separate"/>
    </w:r>
    <w:r>
      <w:rPr>
        <w:rStyle w:val="a3"/>
        <w:noProof/>
        <w:sz w:val="28"/>
      </w:rPr>
      <w:t>8</w:t>
    </w:r>
    <w:r>
      <w:rPr>
        <w:sz w:val="28"/>
      </w:rPr>
      <w:fldChar w:fldCharType="end"/>
    </w:r>
    <w:r>
      <w:rPr>
        <w:rStyle w:val="a3"/>
        <w:rFonts w:hint="eastAsia"/>
        <w:sz w:val="28"/>
      </w:rPr>
      <w:t xml:space="preserve"> </w:t>
    </w:r>
    <w:r>
      <w:rPr>
        <w:rStyle w:val="a3"/>
        <w:rFonts w:ascii="仿宋_GB2312" w:hint="eastAsia"/>
        <w:sz w:val="28"/>
      </w:rPr>
      <w:t>—</w:t>
    </w:r>
  </w:p>
  <w:p w:rsidR="0088771F" w:rsidRDefault="00B54D5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71F" w:rsidRDefault="00B54D5B">
    <w:pPr>
      <w:pStyle w:val="a4"/>
      <w:framePr w:w="2055" w:wrap="around" w:vAnchor="text" w:hAnchor="page" w:x="8491" w:y="-70"/>
      <w:spacing w:line="0" w:lineRule="atLeast"/>
      <w:ind w:right="345"/>
      <w:jc w:val="right"/>
      <w:rPr>
        <w:rStyle w:val="a3"/>
        <w:sz w:val="28"/>
      </w:rPr>
    </w:pPr>
    <w:r>
      <w:rPr>
        <w:rStyle w:val="a3"/>
        <w:rFonts w:ascii="仿宋_GB2312" w:hint="eastAsia"/>
        <w:sz w:val="28"/>
      </w:rPr>
      <w:t>—</w:t>
    </w:r>
    <w:r>
      <w:rPr>
        <w:rStyle w:val="a3"/>
        <w:rFonts w:ascii="仿宋_GB2312" w:hint="eastAsia"/>
        <w:sz w:val="28"/>
      </w:rPr>
      <w:t xml:space="preserve"> </w:t>
    </w:r>
    <w:r>
      <w:rPr>
        <w:sz w:val="28"/>
      </w:rPr>
      <w:fldChar w:fldCharType="begin"/>
    </w:r>
    <w:r>
      <w:rPr>
        <w:rStyle w:val="a3"/>
        <w:sz w:val="28"/>
      </w:rPr>
      <w:instrText xml:space="preserve">PAGE  </w:instrText>
    </w:r>
    <w:r>
      <w:rPr>
        <w:sz w:val="28"/>
      </w:rPr>
      <w:fldChar w:fldCharType="separate"/>
    </w:r>
    <w:r>
      <w:rPr>
        <w:rStyle w:val="a3"/>
        <w:noProof/>
        <w:sz w:val="28"/>
      </w:rPr>
      <w:t>1</w:t>
    </w:r>
    <w:r>
      <w:rPr>
        <w:sz w:val="28"/>
      </w:rPr>
      <w:fldChar w:fldCharType="end"/>
    </w:r>
    <w:r>
      <w:rPr>
        <w:rStyle w:val="a3"/>
        <w:rFonts w:hint="eastAsia"/>
        <w:sz w:val="28"/>
      </w:rPr>
      <w:t xml:space="preserve"> </w:t>
    </w:r>
    <w:r>
      <w:rPr>
        <w:rStyle w:val="a3"/>
        <w:rFonts w:ascii="仿宋_GB2312" w:hint="eastAsia"/>
        <w:sz w:val="28"/>
      </w:rPr>
      <w:t>—</w:t>
    </w:r>
  </w:p>
  <w:p w:rsidR="0088771F" w:rsidRDefault="00B54D5B">
    <w:pPr>
      <w:pStyle w:val="a4"/>
      <w:tabs>
        <w:tab w:val="clear" w:pos="8306"/>
      </w:tabs>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4D5B"/>
    <w:rsid w:val="00870F54"/>
    <w:rsid w:val="00B54D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5B"/>
    <w:pPr>
      <w:widowControl w:val="0"/>
      <w:autoSpaceDE w:val="0"/>
      <w:autoSpaceDN w:val="0"/>
      <w:adjustRightInd w:val="0"/>
      <w:snapToGrid w:val="0"/>
      <w:spacing w:line="588" w:lineRule="atLeast"/>
      <w:jc w:val="both"/>
    </w:pPr>
    <w:rPr>
      <w:rFonts w:ascii="宋体" w:eastAsia="仿宋_GB2312" w:hAnsi="宋体" w:cs="Times New Roman"/>
      <w:spacing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54D5B"/>
  </w:style>
  <w:style w:type="paragraph" w:styleId="a4">
    <w:name w:val="footer"/>
    <w:basedOn w:val="a"/>
    <w:link w:val="Char"/>
    <w:rsid w:val="00B54D5B"/>
    <w:pPr>
      <w:tabs>
        <w:tab w:val="center" w:pos="4153"/>
        <w:tab w:val="right" w:pos="8306"/>
      </w:tabs>
      <w:jc w:val="left"/>
    </w:pPr>
    <w:rPr>
      <w:sz w:val="18"/>
      <w:szCs w:val="18"/>
    </w:rPr>
  </w:style>
  <w:style w:type="character" w:customStyle="1" w:styleId="Char">
    <w:name w:val="页脚 Char"/>
    <w:basedOn w:val="a0"/>
    <w:link w:val="a4"/>
    <w:rsid w:val="00B54D5B"/>
    <w:rPr>
      <w:rFonts w:ascii="宋体" w:eastAsia="仿宋_GB2312" w:hAnsi="宋体" w:cs="Times New Roman"/>
      <w:spacing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zhangsong</dc:creator>
  <cp:lastModifiedBy>zhangsong</cp:lastModifiedBy>
  <cp:revision>1</cp:revision>
  <dcterms:created xsi:type="dcterms:W3CDTF">2021-03-22T09:06:00Z</dcterms:created>
  <dcterms:modified xsi:type="dcterms:W3CDTF">2021-03-22T09:06:00Z</dcterms:modified>
</cp:coreProperties>
</file>