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3727B">
      <w:pPr>
        <w:jc w:val="both"/>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w:t>
      </w:r>
      <w:bookmarkStart w:id="1" w:name="_GoBack"/>
      <w:bookmarkEnd w:id="1"/>
    </w:p>
    <w:p w14:paraId="0C41FC01">
      <w:pPr>
        <w:spacing w:line="56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遴选</w:t>
      </w:r>
      <w:r>
        <w:rPr>
          <w:rFonts w:hint="eastAsia" w:ascii="方正小标宋简体" w:hAnsi="黑体" w:eastAsia="方正小标宋简体" w:cs="黑体"/>
          <w:sz w:val="44"/>
          <w:szCs w:val="44"/>
          <w:lang w:eastAsia="zh-CN"/>
        </w:rPr>
        <w:t>服务</w:t>
      </w:r>
      <w:r>
        <w:rPr>
          <w:rFonts w:hint="eastAsia" w:ascii="方正小标宋简体" w:hAnsi="黑体" w:eastAsia="方正小标宋简体" w:cs="黑体"/>
          <w:sz w:val="44"/>
          <w:szCs w:val="44"/>
        </w:rPr>
        <w:t>机构评分标准表</w:t>
      </w:r>
    </w:p>
    <w:p w14:paraId="0A78D1FF">
      <w:pPr>
        <w:pStyle w:val="2"/>
        <w:rPr>
          <w:rFonts w:hint="eastAsia"/>
        </w:rPr>
      </w:pPr>
    </w:p>
    <w:tbl>
      <w:tblPr>
        <w:tblStyle w:val="6"/>
        <w:tblW w:w="10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660"/>
        <w:gridCol w:w="1185"/>
        <w:gridCol w:w="7186"/>
        <w:gridCol w:w="679"/>
      </w:tblGrid>
      <w:tr w14:paraId="6E48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24" w:type="dxa"/>
            <w:vAlign w:val="center"/>
          </w:tcPr>
          <w:p w14:paraId="3A60C102">
            <w:pPr>
              <w:spacing w:line="340" w:lineRule="exact"/>
              <w:rPr>
                <w:rFonts w:hint="eastAsia" w:ascii="仿宋_GB2312" w:hAnsi="仿宋_GB2312" w:eastAsia="仿宋_GB2312" w:cs="仿宋_GB2312"/>
                <w:bCs/>
                <w:color w:val="auto"/>
                <w:sz w:val="28"/>
                <w:szCs w:val="28"/>
                <w:highlight w:val="none"/>
                <w:lang w:val="en-US" w:eastAsia="zh-CN"/>
              </w:rPr>
            </w:pPr>
            <w:bookmarkStart w:id="0" w:name="_Hlk106449537"/>
            <w:r>
              <w:rPr>
                <w:rFonts w:hint="eastAsia" w:ascii="仿宋_GB2312" w:hAnsi="仿宋_GB2312" w:eastAsia="仿宋_GB2312" w:cs="仿宋_GB2312"/>
                <w:bCs/>
                <w:color w:val="auto"/>
                <w:sz w:val="28"/>
                <w:szCs w:val="28"/>
                <w:highlight w:val="none"/>
                <w:lang w:val="en-US" w:eastAsia="zh-CN"/>
              </w:rPr>
              <w:t>序号</w:t>
            </w:r>
          </w:p>
        </w:tc>
        <w:tc>
          <w:tcPr>
            <w:tcW w:w="9031" w:type="dxa"/>
            <w:gridSpan w:val="3"/>
            <w:vAlign w:val="center"/>
          </w:tcPr>
          <w:p w14:paraId="2F5DC337">
            <w:pPr>
              <w:spacing w:line="340" w:lineRule="exact"/>
              <w:ind w:firstLine="560" w:firstLineChars="200"/>
              <w:jc w:val="center"/>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评分标准</w:t>
            </w:r>
          </w:p>
        </w:tc>
        <w:tc>
          <w:tcPr>
            <w:tcW w:w="679" w:type="dxa"/>
            <w:vAlign w:val="center"/>
          </w:tcPr>
          <w:p w14:paraId="5C2B33E5">
            <w:pPr>
              <w:spacing w:line="340" w:lineRule="exact"/>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评分</w:t>
            </w:r>
          </w:p>
        </w:tc>
      </w:tr>
      <w:tr w14:paraId="34A0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jc w:val="center"/>
        </w:trPr>
        <w:tc>
          <w:tcPr>
            <w:tcW w:w="524" w:type="dxa"/>
            <w:vMerge w:val="restart"/>
            <w:vAlign w:val="center"/>
          </w:tcPr>
          <w:p w14:paraId="2B90A1B7">
            <w:pPr>
              <w:spacing w:line="340" w:lineRule="exact"/>
              <w:jc w:val="center"/>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w:t>
            </w:r>
          </w:p>
        </w:tc>
        <w:tc>
          <w:tcPr>
            <w:tcW w:w="660" w:type="dxa"/>
            <w:vMerge w:val="restart"/>
            <w:vAlign w:val="center"/>
          </w:tcPr>
          <w:p w14:paraId="1D26A928">
            <w:pPr>
              <w:spacing w:line="340" w:lineRule="exact"/>
              <w:jc w:val="left"/>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技术分︵</w:t>
            </w:r>
          </w:p>
          <w:p w14:paraId="2EB2A277">
            <w:pPr>
              <w:spacing w:line="340" w:lineRule="exact"/>
              <w:jc w:val="left"/>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满分</w:t>
            </w:r>
            <w:r>
              <w:rPr>
                <w:rFonts w:hint="default" w:ascii="Times New Roman" w:hAnsi="Times New Roman" w:eastAsia="仿宋_GB2312" w:cs="Times New Roman"/>
                <w:bCs/>
                <w:color w:val="auto"/>
                <w:sz w:val="28"/>
                <w:szCs w:val="28"/>
                <w:highlight w:val="none"/>
                <w:lang w:val="en-US" w:eastAsia="zh-CN"/>
              </w:rPr>
              <w:t>55</w:t>
            </w:r>
            <w:r>
              <w:rPr>
                <w:rFonts w:hint="eastAsia" w:ascii="仿宋_GB2312" w:hAnsi="仿宋_GB2312" w:eastAsia="仿宋_GB2312" w:cs="仿宋_GB2312"/>
                <w:bCs/>
                <w:color w:val="auto"/>
                <w:sz w:val="28"/>
                <w:szCs w:val="28"/>
                <w:highlight w:val="none"/>
                <w:lang w:val="en-US" w:eastAsia="zh-CN"/>
              </w:rPr>
              <w:t>分︶</w:t>
            </w:r>
          </w:p>
        </w:tc>
        <w:tc>
          <w:tcPr>
            <w:tcW w:w="1185" w:type="dxa"/>
            <w:vAlign w:val="center"/>
          </w:tcPr>
          <w:p w14:paraId="37994A7A">
            <w:pPr>
              <w:spacing w:line="340" w:lineRule="exact"/>
              <w:jc w:val="left"/>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(1)项目实施方案分（满分</w:t>
            </w:r>
            <w:r>
              <w:rPr>
                <w:rFonts w:hint="default" w:ascii="Times New Roman" w:hAnsi="Times New Roman" w:eastAsia="仿宋_GB2312" w:cs="Times New Roman"/>
                <w:bCs/>
                <w:color w:val="auto"/>
                <w:sz w:val="28"/>
                <w:szCs w:val="28"/>
                <w:highlight w:val="none"/>
                <w:lang w:val="en-US" w:eastAsia="zh-CN"/>
              </w:rPr>
              <w:t>25</w:t>
            </w:r>
            <w:r>
              <w:rPr>
                <w:rFonts w:hint="eastAsia" w:ascii="仿宋_GB2312" w:hAnsi="仿宋_GB2312" w:eastAsia="仿宋_GB2312" w:cs="仿宋_GB2312"/>
                <w:bCs/>
                <w:color w:val="auto"/>
                <w:sz w:val="28"/>
                <w:szCs w:val="28"/>
                <w:highlight w:val="none"/>
                <w:lang w:val="en-US" w:eastAsia="zh-CN"/>
              </w:rPr>
              <w:t>分）</w:t>
            </w:r>
          </w:p>
        </w:tc>
        <w:tc>
          <w:tcPr>
            <w:tcW w:w="7186" w:type="dxa"/>
            <w:vAlign w:val="center"/>
          </w:tcPr>
          <w:p w14:paraId="21C30196">
            <w:pPr>
              <w:spacing w:line="340" w:lineRule="exact"/>
              <w:ind w:firstLine="560" w:firstLineChars="200"/>
              <w:jc w:val="left"/>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一档（</w:t>
            </w:r>
            <w:r>
              <w:rPr>
                <w:rFonts w:hint="default" w:ascii="Times New Roman" w:hAnsi="Times New Roman" w:eastAsia="仿宋_GB2312" w:cs="Times New Roman"/>
                <w:bCs/>
                <w:color w:val="auto"/>
                <w:sz w:val="28"/>
                <w:szCs w:val="28"/>
                <w:highlight w:val="none"/>
                <w:lang w:val="en-US" w:eastAsia="zh-CN"/>
              </w:rPr>
              <w:t>15</w:t>
            </w:r>
            <w:r>
              <w:rPr>
                <w:rFonts w:hint="eastAsia" w:ascii="仿宋_GB2312" w:hAnsi="仿宋_GB2312" w:eastAsia="仿宋_GB2312" w:cs="仿宋_GB2312"/>
                <w:bCs/>
                <w:color w:val="auto"/>
                <w:sz w:val="28"/>
                <w:szCs w:val="28"/>
                <w:highlight w:val="none"/>
                <w:lang w:val="en-US" w:eastAsia="zh-CN"/>
              </w:rPr>
              <w:t xml:space="preserve">分）：实施方案简单，方案重点内容不全或不突出，对项目需求分析不全面，针对本项目有组织措施及安排，但可行性不高。 </w:t>
            </w:r>
          </w:p>
          <w:p w14:paraId="008CD534">
            <w:pPr>
              <w:spacing w:line="340" w:lineRule="exact"/>
              <w:ind w:firstLine="560" w:firstLineChars="200"/>
              <w:jc w:val="left"/>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二档（</w:t>
            </w:r>
            <w:r>
              <w:rPr>
                <w:rFonts w:hint="default" w:ascii="Times New Roman" w:hAnsi="Times New Roman" w:eastAsia="仿宋_GB2312" w:cs="Times New Roman"/>
                <w:bCs/>
                <w:color w:val="auto"/>
                <w:sz w:val="28"/>
                <w:szCs w:val="28"/>
                <w:highlight w:val="none"/>
                <w:lang w:val="en-US" w:eastAsia="zh-CN"/>
              </w:rPr>
              <w:t>20</w:t>
            </w:r>
            <w:r>
              <w:rPr>
                <w:rFonts w:hint="eastAsia" w:ascii="仿宋_GB2312" w:hAnsi="仿宋_GB2312" w:eastAsia="仿宋_GB2312" w:cs="仿宋_GB2312"/>
                <w:bCs/>
                <w:color w:val="auto"/>
                <w:sz w:val="28"/>
                <w:szCs w:val="28"/>
                <w:highlight w:val="none"/>
                <w:lang w:val="en-US" w:eastAsia="zh-CN"/>
              </w:rPr>
              <w:t xml:space="preserve">分）：实施方案基本符合本项目要求，方案有重点内容、措施列举，对项目需求有分析，针对本项目的组织措施及安排基本合理、有可行性，基本能达到采购人的目的。 </w:t>
            </w:r>
          </w:p>
          <w:p w14:paraId="63371FD6">
            <w:pPr>
              <w:spacing w:line="340" w:lineRule="exact"/>
              <w:ind w:firstLine="560" w:firstLineChars="200"/>
              <w:jc w:val="left"/>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三档（</w:t>
            </w:r>
            <w:r>
              <w:rPr>
                <w:rFonts w:hint="default" w:ascii="Times New Roman" w:hAnsi="Times New Roman" w:eastAsia="仿宋_GB2312" w:cs="Times New Roman"/>
                <w:bCs/>
                <w:color w:val="auto"/>
                <w:sz w:val="28"/>
                <w:szCs w:val="28"/>
                <w:highlight w:val="none"/>
                <w:lang w:val="en-US" w:eastAsia="zh-CN"/>
              </w:rPr>
              <w:t>25</w:t>
            </w:r>
            <w:r>
              <w:rPr>
                <w:rFonts w:hint="eastAsia" w:ascii="仿宋_GB2312" w:hAnsi="仿宋_GB2312" w:eastAsia="仿宋_GB2312" w:cs="仿宋_GB2312"/>
                <w:bCs/>
                <w:color w:val="auto"/>
                <w:sz w:val="28"/>
                <w:szCs w:val="28"/>
                <w:highlight w:val="none"/>
                <w:lang w:val="en-US" w:eastAsia="zh-CN"/>
              </w:rPr>
              <w:t>分）：实施方案清晰完整，目标明确，对需求分析全面，充分满足本项目要求。方案重点内容突出，措施具体；对辅导工作有具体的人数、时间安排，方案可行性强，充分满足采购人的采购目的，能很好的实现采购人的预期效果。</w:t>
            </w:r>
          </w:p>
        </w:tc>
        <w:tc>
          <w:tcPr>
            <w:tcW w:w="679" w:type="dxa"/>
          </w:tcPr>
          <w:p w14:paraId="405A8D38">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p>
        </w:tc>
      </w:tr>
      <w:tr w14:paraId="41E7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524" w:type="dxa"/>
            <w:vMerge w:val="continue"/>
            <w:vAlign w:val="center"/>
          </w:tcPr>
          <w:p w14:paraId="0DC2635F">
            <w:pPr>
              <w:spacing w:line="340" w:lineRule="exact"/>
              <w:ind w:firstLine="560" w:firstLineChars="200"/>
              <w:jc w:val="center"/>
              <w:rPr>
                <w:rFonts w:hint="eastAsia" w:ascii="仿宋_GB2312" w:hAnsi="仿宋_GB2312" w:eastAsia="仿宋_GB2312" w:cs="仿宋_GB2312"/>
                <w:bCs/>
                <w:color w:val="auto"/>
                <w:sz w:val="28"/>
                <w:szCs w:val="28"/>
                <w:highlight w:val="none"/>
                <w:lang w:val="en-US" w:eastAsia="zh-CN"/>
              </w:rPr>
            </w:pPr>
          </w:p>
        </w:tc>
        <w:tc>
          <w:tcPr>
            <w:tcW w:w="660" w:type="dxa"/>
            <w:vMerge w:val="continue"/>
            <w:vAlign w:val="center"/>
          </w:tcPr>
          <w:p w14:paraId="720647E2">
            <w:pPr>
              <w:spacing w:line="340" w:lineRule="exact"/>
              <w:ind w:firstLine="560" w:firstLineChars="200"/>
              <w:jc w:val="both"/>
              <w:rPr>
                <w:rFonts w:hint="eastAsia" w:ascii="仿宋_GB2312" w:hAnsi="仿宋_GB2312" w:eastAsia="仿宋_GB2312" w:cs="仿宋_GB2312"/>
                <w:bCs/>
                <w:color w:val="auto"/>
                <w:sz w:val="28"/>
                <w:szCs w:val="28"/>
                <w:highlight w:val="none"/>
                <w:lang w:val="en-US" w:eastAsia="zh-CN"/>
              </w:rPr>
            </w:pPr>
          </w:p>
        </w:tc>
        <w:tc>
          <w:tcPr>
            <w:tcW w:w="1185" w:type="dxa"/>
            <w:vAlign w:val="center"/>
          </w:tcPr>
          <w:p w14:paraId="17EB13D6">
            <w:pPr>
              <w:numPr>
                <w:ilvl w:val="0"/>
                <w:numId w:val="1"/>
              </w:numPr>
              <w:spacing w:line="340" w:lineRule="exact"/>
              <w:jc w:val="left"/>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团队服务及专人对接承诺</w:t>
            </w:r>
          </w:p>
          <w:p w14:paraId="50F24FDF">
            <w:pPr>
              <w:numPr>
                <w:ilvl w:val="-1"/>
                <w:numId w:val="0"/>
              </w:numPr>
              <w:spacing w:line="340" w:lineRule="exact"/>
              <w:jc w:val="left"/>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（满分</w:t>
            </w:r>
            <w:r>
              <w:rPr>
                <w:rFonts w:hint="default" w:ascii="Times New Roman" w:hAnsi="Times New Roman" w:eastAsia="仿宋_GB2312" w:cs="Times New Roman"/>
                <w:bCs/>
                <w:color w:val="auto"/>
                <w:sz w:val="28"/>
                <w:szCs w:val="28"/>
                <w:highlight w:val="none"/>
                <w:lang w:val="en-US" w:eastAsia="zh-CN"/>
              </w:rPr>
              <w:t>25</w:t>
            </w:r>
            <w:r>
              <w:rPr>
                <w:rFonts w:hint="eastAsia" w:ascii="仿宋_GB2312" w:hAnsi="仿宋_GB2312" w:eastAsia="仿宋_GB2312" w:cs="仿宋_GB2312"/>
                <w:bCs/>
                <w:color w:val="auto"/>
                <w:sz w:val="28"/>
                <w:szCs w:val="28"/>
                <w:highlight w:val="none"/>
                <w:lang w:val="en-US" w:eastAsia="zh-CN"/>
              </w:rPr>
              <w:t>分）</w:t>
            </w:r>
          </w:p>
        </w:tc>
        <w:tc>
          <w:tcPr>
            <w:tcW w:w="7186" w:type="dxa"/>
            <w:vAlign w:val="center"/>
          </w:tcPr>
          <w:p w14:paraId="51A9579B">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评委根据各服务机构项目方案内容情况独立定档，并在相应档次内独立打分，不提供的为</w:t>
            </w:r>
            <w:r>
              <w:rPr>
                <w:rFonts w:hint="default" w:ascii="Times New Roman" w:hAnsi="Times New Roman" w:eastAsia="仿宋_GB2312" w:cs="Times New Roman"/>
                <w:bCs/>
                <w:color w:val="auto"/>
                <w:sz w:val="28"/>
                <w:szCs w:val="28"/>
                <w:highlight w:val="none"/>
                <w:lang w:val="en-US" w:eastAsia="zh-CN"/>
              </w:rPr>
              <w:t>0</w:t>
            </w:r>
            <w:r>
              <w:rPr>
                <w:rFonts w:hint="eastAsia" w:ascii="仿宋_GB2312" w:hAnsi="仿宋_GB2312" w:eastAsia="仿宋_GB2312" w:cs="仿宋_GB2312"/>
                <w:bCs/>
                <w:color w:val="auto"/>
                <w:sz w:val="28"/>
                <w:szCs w:val="28"/>
                <w:highlight w:val="none"/>
                <w:lang w:val="en-US" w:eastAsia="zh-CN"/>
              </w:rPr>
              <w:t>分。</w:t>
            </w:r>
          </w:p>
          <w:p w14:paraId="5F8F3662">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一档（</w:t>
            </w:r>
            <w:r>
              <w:rPr>
                <w:rFonts w:hint="default" w:ascii="Times New Roman" w:hAnsi="Times New Roman" w:eastAsia="仿宋_GB2312" w:cs="Times New Roman"/>
                <w:bCs/>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lang w:val="en-US" w:eastAsia="zh-CN"/>
              </w:rPr>
              <w:t>分）负责本项目的服务团队组织架构不够健全，工作流程不清晰，无专人对接，且工作人员大于等于</w:t>
            </w:r>
            <w:r>
              <w:rPr>
                <w:rFonts w:hint="default" w:ascii="Times New Roman" w:hAnsi="Times New Roman" w:eastAsia="仿宋_GB2312" w:cs="Times New Roman"/>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lang w:val="en-US" w:eastAsia="zh-CN"/>
              </w:rPr>
              <w:t>人少于</w:t>
            </w:r>
            <w:r>
              <w:rPr>
                <w:rFonts w:hint="default" w:ascii="Times New Roman" w:hAnsi="Times New Roman" w:eastAsia="仿宋_GB2312" w:cs="Times New Roman"/>
                <w:bCs/>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lang w:val="en-US" w:eastAsia="zh-CN"/>
              </w:rPr>
              <w:t>人；</w:t>
            </w:r>
          </w:p>
          <w:p w14:paraId="227915FA">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二档（</w:t>
            </w:r>
            <w:r>
              <w:rPr>
                <w:rFonts w:hint="default" w:ascii="Times New Roman" w:hAnsi="Times New Roman" w:eastAsia="仿宋_GB2312" w:cs="Times New Roman"/>
                <w:bCs/>
                <w:color w:val="auto"/>
                <w:sz w:val="28"/>
                <w:szCs w:val="28"/>
                <w:highlight w:val="none"/>
                <w:lang w:val="en-US" w:eastAsia="zh-CN"/>
              </w:rPr>
              <w:t>10</w:t>
            </w:r>
            <w:r>
              <w:rPr>
                <w:rFonts w:hint="eastAsia" w:ascii="仿宋_GB2312" w:hAnsi="仿宋_GB2312" w:eastAsia="仿宋_GB2312" w:cs="仿宋_GB2312"/>
                <w:bCs/>
                <w:color w:val="auto"/>
                <w:sz w:val="28"/>
                <w:szCs w:val="28"/>
                <w:highlight w:val="none"/>
                <w:lang w:val="en-US" w:eastAsia="zh-CN"/>
              </w:rPr>
              <w:t>分）负责本项目的服务团队组织架构较健全，工作流程较清晰，有专人对接，且工作人员大于等于</w:t>
            </w:r>
            <w:r>
              <w:rPr>
                <w:rFonts w:hint="default" w:ascii="Times New Roman" w:hAnsi="Times New Roman" w:eastAsia="仿宋_GB2312" w:cs="Times New Roman"/>
                <w:bCs/>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lang w:val="en-US" w:eastAsia="zh-CN"/>
              </w:rPr>
              <w:t>人少于</w:t>
            </w:r>
            <w:r>
              <w:rPr>
                <w:rFonts w:hint="default" w:ascii="Times New Roman" w:hAnsi="Times New Roman" w:eastAsia="仿宋_GB2312" w:cs="Times New Roman"/>
                <w:bCs/>
                <w:color w:val="auto"/>
                <w:sz w:val="28"/>
                <w:szCs w:val="28"/>
                <w:highlight w:val="none"/>
                <w:lang w:val="en-US" w:eastAsia="zh-CN"/>
              </w:rPr>
              <w:t>8</w:t>
            </w:r>
            <w:r>
              <w:rPr>
                <w:rFonts w:hint="eastAsia" w:ascii="仿宋_GB2312" w:hAnsi="仿宋_GB2312" w:eastAsia="仿宋_GB2312" w:cs="仿宋_GB2312"/>
                <w:bCs/>
                <w:color w:val="auto"/>
                <w:sz w:val="28"/>
                <w:szCs w:val="28"/>
                <w:highlight w:val="none"/>
                <w:lang w:val="en-US" w:eastAsia="zh-CN"/>
              </w:rPr>
              <w:t>人；</w:t>
            </w:r>
          </w:p>
          <w:p w14:paraId="048C4CCE">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三档（</w:t>
            </w:r>
            <w:r>
              <w:rPr>
                <w:rFonts w:hint="default" w:ascii="Times New Roman" w:hAnsi="Times New Roman" w:eastAsia="仿宋_GB2312" w:cs="Times New Roman"/>
                <w:bCs/>
                <w:color w:val="auto"/>
                <w:sz w:val="28"/>
                <w:szCs w:val="28"/>
                <w:highlight w:val="none"/>
                <w:lang w:val="en-US" w:eastAsia="zh-CN"/>
              </w:rPr>
              <w:t>15</w:t>
            </w:r>
            <w:r>
              <w:rPr>
                <w:rFonts w:hint="eastAsia" w:ascii="仿宋_GB2312" w:hAnsi="仿宋_GB2312" w:eastAsia="仿宋_GB2312" w:cs="仿宋_GB2312"/>
                <w:bCs/>
                <w:color w:val="auto"/>
                <w:sz w:val="28"/>
                <w:szCs w:val="28"/>
                <w:highlight w:val="none"/>
                <w:lang w:val="en-US" w:eastAsia="zh-CN"/>
              </w:rPr>
              <w:t>分）负责本项目的服务团队组织架构较健全，工作流程较清晰，有专人对接，且工作人员大于等于</w:t>
            </w:r>
            <w:r>
              <w:rPr>
                <w:rFonts w:hint="default" w:ascii="Times New Roman" w:hAnsi="Times New Roman" w:eastAsia="仿宋_GB2312" w:cs="Times New Roman"/>
                <w:bCs/>
                <w:color w:val="auto"/>
                <w:sz w:val="28"/>
                <w:szCs w:val="28"/>
                <w:highlight w:val="none"/>
                <w:lang w:val="en-US" w:eastAsia="zh-CN"/>
              </w:rPr>
              <w:t>8</w:t>
            </w:r>
            <w:r>
              <w:rPr>
                <w:rFonts w:hint="eastAsia" w:ascii="仿宋_GB2312" w:hAnsi="仿宋_GB2312" w:eastAsia="仿宋_GB2312" w:cs="仿宋_GB2312"/>
                <w:bCs/>
                <w:color w:val="auto"/>
                <w:sz w:val="28"/>
                <w:szCs w:val="28"/>
                <w:highlight w:val="none"/>
                <w:lang w:val="en-US" w:eastAsia="zh-CN"/>
              </w:rPr>
              <w:t>人；</w:t>
            </w:r>
          </w:p>
          <w:p w14:paraId="62EAD4F9">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以上要求服务机构应提供工作人员名单表及分工。</w:t>
            </w:r>
          </w:p>
        </w:tc>
        <w:tc>
          <w:tcPr>
            <w:tcW w:w="679" w:type="dxa"/>
          </w:tcPr>
          <w:p w14:paraId="43DF0BDC">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p>
        </w:tc>
      </w:tr>
      <w:tr w14:paraId="054D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1" w:hRule="atLeast"/>
          <w:jc w:val="center"/>
        </w:trPr>
        <w:tc>
          <w:tcPr>
            <w:tcW w:w="524" w:type="dxa"/>
            <w:vMerge w:val="continue"/>
            <w:vAlign w:val="center"/>
          </w:tcPr>
          <w:p w14:paraId="60CD6F89">
            <w:pPr>
              <w:spacing w:line="340" w:lineRule="exact"/>
              <w:ind w:firstLine="560" w:firstLineChars="200"/>
              <w:jc w:val="center"/>
              <w:rPr>
                <w:rFonts w:hint="eastAsia" w:ascii="仿宋_GB2312" w:hAnsi="仿宋_GB2312" w:eastAsia="仿宋_GB2312" w:cs="仿宋_GB2312"/>
                <w:bCs/>
                <w:color w:val="auto"/>
                <w:sz w:val="28"/>
                <w:szCs w:val="28"/>
                <w:highlight w:val="none"/>
                <w:lang w:val="en-US" w:eastAsia="zh-CN"/>
              </w:rPr>
            </w:pPr>
          </w:p>
        </w:tc>
        <w:tc>
          <w:tcPr>
            <w:tcW w:w="660" w:type="dxa"/>
            <w:vMerge w:val="continue"/>
            <w:vAlign w:val="center"/>
          </w:tcPr>
          <w:p w14:paraId="21DA178B">
            <w:pPr>
              <w:spacing w:line="340" w:lineRule="exact"/>
              <w:ind w:firstLine="560" w:firstLineChars="200"/>
              <w:jc w:val="both"/>
              <w:rPr>
                <w:rFonts w:hint="eastAsia" w:ascii="仿宋_GB2312" w:hAnsi="仿宋_GB2312" w:eastAsia="仿宋_GB2312" w:cs="仿宋_GB2312"/>
                <w:bCs/>
                <w:color w:val="auto"/>
                <w:sz w:val="28"/>
                <w:szCs w:val="28"/>
                <w:highlight w:val="none"/>
                <w:lang w:val="en-US" w:eastAsia="zh-CN"/>
              </w:rPr>
            </w:pPr>
          </w:p>
        </w:tc>
        <w:tc>
          <w:tcPr>
            <w:tcW w:w="1185" w:type="dxa"/>
            <w:vAlign w:val="center"/>
          </w:tcPr>
          <w:p w14:paraId="1FCD4508">
            <w:pPr>
              <w:numPr>
                <w:ilvl w:val="0"/>
                <w:numId w:val="1"/>
              </w:numPr>
              <w:spacing w:line="340" w:lineRule="exact"/>
              <w:jc w:val="left"/>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专家团队分</w:t>
            </w:r>
          </w:p>
          <w:p w14:paraId="0C5EF16C">
            <w:pPr>
              <w:numPr>
                <w:ilvl w:val="-1"/>
                <w:numId w:val="0"/>
              </w:numPr>
              <w:spacing w:line="340" w:lineRule="exact"/>
              <w:jc w:val="left"/>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（满分</w:t>
            </w:r>
            <w:r>
              <w:rPr>
                <w:rFonts w:hint="default" w:ascii="Times New Roman" w:hAnsi="Times New Roman" w:eastAsia="仿宋_GB2312" w:cs="Times New Roman"/>
                <w:bCs/>
                <w:color w:val="auto"/>
                <w:sz w:val="28"/>
                <w:szCs w:val="28"/>
                <w:highlight w:val="none"/>
                <w:lang w:val="en-US" w:eastAsia="zh-CN"/>
              </w:rPr>
              <w:t>15</w:t>
            </w:r>
            <w:r>
              <w:rPr>
                <w:rFonts w:hint="eastAsia" w:ascii="仿宋_GB2312" w:hAnsi="仿宋_GB2312" w:eastAsia="仿宋_GB2312" w:cs="仿宋_GB2312"/>
                <w:bCs/>
                <w:color w:val="auto"/>
                <w:sz w:val="28"/>
                <w:szCs w:val="28"/>
                <w:highlight w:val="none"/>
                <w:lang w:val="en-US" w:eastAsia="zh-CN"/>
              </w:rPr>
              <w:t>分）</w:t>
            </w:r>
          </w:p>
        </w:tc>
        <w:tc>
          <w:tcPr>
            <w:tcW w:w="7186" w:type="dxa"/>
            <w:vAlign w:val="center"/>
          </w:tcPr>
          <w:p w14:paraId="0489C158">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评委根据各服务机构项目方案内容情况独立定档，并在相应档次内独立打分。</w:t>
            </w:r>
          </w:p>
          <w:p w14:paraId="5AD66377">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一档（</w:t>
            </w:r>
            <w:r>
              <w:rPr>
                <w:rFonts w:hint="default" w:ascii="Times New Roman" w:hAnsi="Times New Roman" w:eastAsia="仿宋_GB2312" w:cs="Times New Roman"/>
                <w:bCs/>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lang w:val="en-US" w:eastAsia="zh-CN"/>
              </w:rPr>
              <w:t>分）：项目配备专家团队不少于</w:t>
            </w:r>
            <w:r>
              <w:rPr>
                <w:rFonts w:hint="default" w:ascii="Times New Roman" w:hAnsi="Times New Roman" w:eastAsia="仿宋_GB2312" w:cs="Times New Roman"/>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lang w:val="en-US" w:eastAsia="zh-CN"/>
              </w:rPr>
              <w:t>名，且能满足专精特新辅导的需求；</w:t>
            </w:r>
          </w:p>
          <w:p w14:paraId="3D7D9D45">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二档（</w:t>
            </w:r>
            <w:r>
              <w:rPr>
                <w:rFonts w:hint="default" w:ascii="Times New Roman" w:hAnsi="Times New Roman" w:eastAsia="仿宋_GB2312" w:cs="Times New Roman"/>
                <w:bCs/>
                <w:color w:val="auto"/>
                <w:sz w:val="28"/>
                <w:szCs w:val="28"/>
                <w:highlight w:val="none"/>
                <w:lang w:val="en-US" w:eastAsia="zh-CN"/>
              </w:rPr>
              <w:t>10</w:t>
            </w:r>
            <w:r>
              <w:rPr>
                <w:rFonts w:hint="eastAsia" w:ascii="仿宋_GB2312" w:hAnsi="仿宋_GB2312" w:eastAsia="仿宋_GB2312" w:cs="仿宋_GB2312"/>
                <w:bCs/>
                <w:color w:val="auto"/>
                <w:sz w:val="28"/>
                <w:szCs w:val="28"/>
                <w:highlight w:val="none"/>
                <w:lang w:val="en-US" w:eastAsia="zh-CN"/>
              </w:rPr>
              <w:t>分）：项目配备师资团队不少于</w:t>
            </w:r>
            <w:r>
              <w:rPr>
                <w:rFonts w:hint="default" w:ascii="Times New Roman" w:hAnsi="Times New Roman" w:eastAsia="仿宋_GB2312" w:cs="Times New Roman"/>
                <w:bCs/>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lang w:val="en-US" w:eastAsia="zh-CN"/>
              </w:rPr>
              <w:t>名，且能满足专精特新辅导的需求；</w:t>
            </w:r>
          </w:p>
          <w:p w14:paraId="24DA1568">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三档（</w:t>
            </w:r>
            <w:r>
              <w:rPr>
                <w:rFonts w:hint="default" w:ascii="Times New Roman" w:hAnsi="Times New Roman" w:eastAsia="仿宋_GB2312" w:cs="Times New Roman"/>
                <w:bCs/>
                <w:color w:val="auto"/>
                <w:sz w:val="28"/>
                <w:szCs w:val="28"/>
                <w:highlight w:val="none"/>
                <w:lang w:val="en-US" w:eastAsia="zh-CN"/>
              </w:rPr>
              <w:t>15</w:t>
            </w:r>
            <w:r>
              <w:rPr>
                <w:rFonts w:hint="eastAsia" w:ascii="仿宋_GB2312" w:hAnsi="仿宋_GB2312" w:eastAsia="仿宋_GB2312" w:cs="仿宋_GB2312"/>
                <w:bCs/>
                <w:color w:val="auto"/>
                <w:sz w:val="28"/>
                <w:szCs w:val="28"/>
                <w:highlight w:val="none"/>
                <w:lang w:val="en-US" w:eastAsia="zh-CN"/>
              </w:rPr>
              <w:t>分）：项目配备师资团队不少于</w:t>
            </w:r>
            <w:r>
              <w:rPr>
                <w:rFonts w:hint="default" w:ascii="Times New Roman" w:hAnsi="Times New Roman" w:eastAsia="仿宋_GB2312" w:cs="Times New Roman"/>
                <w:bCs/>
                <w:color w:val="auto"/>
                <w:sz w:val="28"/>
                <w:szCs w:val="28"/>
                <w:highlight w:val="none"/>
                <w:lang w:val="en-US" w:eastAsia="zh-CN"/>
              </w:rPr>
              <w:t>8</w:t>
            </w:r>
            <w:r>
              <w:rPr>
                <w:rFonts w:hint="eastAsia" w:ascii="仿宋_GB2312" w:hAnsi="仿宋_GB2312" w:eastAsia="仿宋_GB2312" w:cs="仿宋_GB2312"/>
                <w:bCs/>
                <w:color w:val="auto"/>
                <w:sz w:val="28"/>
                <w:szCs w:val="28"/>
                <w:highlight w:val="none"/>
                <w:lang w:val="en-US" w:eastAsia="zh-CN"/>
              </w:rPr>
              <w:t>名，且能满足专精特新辅导的需求；</w:t>
            </w:r>
          </w:p>
          <w:p w14:paraId="77BEAD51">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以上要求服务机构提供专家简介。</w:t>
            </w:r>
          </w:p>
        </w:tc>
        <w:tc>
          <w:tcPr>
            <w:tcW w:w="679" w:type="dxa"/>
          </w:tcPr>
          <w:p w14:paraId="4516040D">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p>
        </w:tc>
      </w:tr>
      <w:tr w14:paraId="07E9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524" w:type="dxa"/>
            <w:vMerge w:val="restart"/>
            <w:vAlign w:val="center"/>
          </w:tcPr>
          <w:p w14:paraId="7336C15A">
            <w:pPr>
              <w:spacing w:line="340" w:lineRule="exact"/>
              <w:jc w:val="center"/>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2</w:t>
            </w:r>
          </w:p>
        </w:tc>
        <w:tc>
          <w:tcPr>
            <w:tcW w:w="660" w:type="dxa"/>
            <w:vMerge w:val="restart"/>
            <w:vAlign w:val="center"/>
          </w:tcPr>
          <w:p w14:paraId="1E77D8BA">
            <w:pPr>
              <w:spacing w:line="340" w:lineRule="exact"/>
              <w:jc w:val="both"/>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商务分︵满分</w:t>
            </w:r>
            <w:r>
              <w:rPr>
                <w:rFonts w:hint="default" w:ascii="Times New Roman" w:hAnsi="Times New Roman" w:eastAsia="仿宋_GB2312" w:cs="Times New Roman"/>
                <w:bCs/>
                <w:color w:val="auto"/>
                <w:sz w:val="28"/>
                <w:szCs w:val="28"/>
                <w:highlight w:val="none"/>
                <w:lang w:val="en-US" w:eastAsia="zh-CN"/>
              </w:rPr>
              <w:t>25</w:t>
            </w:r>
            <w:r>
              <w:rPr>
                <w:rFonts w:hint="eastAsia" w:ascii="仿宋_GB2312" w:hAnsi="仿宋_GB2312" w:eastAsia="仿宋_GB2312" w:cs="仿宋_GB2312"/>
                <w:bCs/>
                <w:color w:val="auto"/>
                <w:sz w:val="28"/>
                <w:szCs w:val="28"/>
                <w:highlight w:val="none"/>
                <w:lang w:val="en-US" w:eastAsia="zh-CN"/>
              </w:rPr>
              <w:t>分︶</w:t>
            </w:r>
          </w:p>
        </w:tc>
        <w:tc>
          <w:tcPr>
            <w:tcW w:w="1185" w:type="dxa"/>
            <w:shd w:val="clear" w:color="auto" w:fill="auto"/>
            <w:vAlign w:val="center"/>
          </w:tcPr>
          <w:p w14:paraId="1970EEB8">
            <w:pPr>
              <w:numPr>
                <w:ilvl w:val="0"/>
                <w:numId w:val="1"/>
              </w:numPr>
              <w:spacing w:line="340" w:lineRule="exact"/>
              <w:jc w:val="left"/>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后续跟踪服务分</w:t>
            </w:r>
          </w:p>
          <w:p w14:paraId="56246885">
            <w:pPr>
              <w:numPr>
                <w:ilvl w:val="-1"/>
                <w:numId w:val="0"/>
              </w:numPr>
              <w:spacing w:line="340" w:lineRule="exact"/>
              <w:jc w:val="left"/>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（满分</w:t>
            </w:r>
            <w:r>
              <w:rPr>
                <w:rFonts w:hint="default" w:ascii="Times New Roman" w:hAnsi="Times New Roman" w:eastAsia="仿宋_GB2312" w:cs="Times New Roman"/>
                <w:bCs/>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lang w:val="en-US" w:eastAsia="zh-CN"/>
              </w:rPr>
              <w:t>分）</w:t>
            </w:r>
          </w:p>
        </w:tc>
        <w:tc>
          <w:tcPr>
            <w:tcW w:w="7186" w:type="dxa"/>
            <w:shd w:val="clear" w:color="auto" w:fill="auto"/>
            <w:vAlign w:val="center"/>
          </w:tcPr>
          <w:p w14:paraId="09B828D8">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评委根据各服务机构项目方案内容情况独立定档，并在相应档次内独立打分，不提供的为0分。</w:t>
            </w:r>
          </w:p>
          <w:p w14:paraId="6E870209">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一档（</w:t>
            </w:r>
            <w:r>
              <w:rPr>
                <w:rFonts w:hint="default" w:ascii="Times New Roman" w:hAnsi="Times New Roman" w:eastAsia="仿宋_GB2312" w:cs="Times New Roman"/>
                <w:bCs/>
                <w:color w:val="auto"/>
                <w:sz w:val="28"/>
                <w:szCs w:val="28"/>
                <w:highlight w:val="none"/>
                <w:lang w:val="en-US" w:eastAsia="zh-CN"/>
              </w:rPr>
              <w:t>1</w:t>
            </w:r>
            <w:r>
              <w:rPr>
                <w:rFonts w:hint="eastAsia" w:ascii="仿宋_GB2312" w:hAnsi="仿宋_GB2312" w:eastAsia="仿宋_GB2312" w:cs="仿宋_GB2312"/>
                <w:bCs/>
                <w:color w:val="auto"/>
                <w:sz w:val="28"/>
                <w:szCs w:val="28"/>
                <w:highlight w:val="none"/>
                <w:lang w:val="en-US" w:eastAsia="zh-CN"/>
              </w:rPr>
              <w:t>分）：承诺现场项目培育结束后持续提供相关内容的指导，至申报系统关闭，辅导持续跟踪服务一般，不具有特色。</w:t>
            </w:r>
          </w:p>
          <w:p w14:paraId="4D62106C">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二档（</w:t>
            </w:r>
            <w:r>
              <w:rPr>
                <w:rFonts w:hint="default" w:ascii="Times New Roman" w:hAnsi="Times New Roman" w:eastAsia="仿宋_GB2312" w:cs="Times New Roman"/>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lang w:val="en-US" w:eastAsia="zh-CN"/>
              </w:rPr>
              <w:t>分）：承诺现场项目培育结束后持续提供相关内容的指导，至申报系统关闭，辅导持续跟踪服务良好，具有一定特色。</w:t>
            </w:r>
          </w:p>
          <w:p w14:paraId="7F5EC559">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三档（</w:t>
            </w:r>
            <w:r>
              <w:rPr>
                <w:rFonts w:hint="default" w:ascii="Times New Roman" w:hAnsi="Times New Roman" w:eastAsia="仿宋_GB2312" w:cs="Times New Roman"/>
                <w:bCs/>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lang w:val="en-US" w:eastAsia="zh-CN"/>
              </w:rPr>
              <w:t>分）：承诺现场项目培育结束后持续提供相关内容的指导，至申报系统关闭，辅导持续跟踪服务完善，有亮点、有特色。</w:t>
            </w:r>
          </w:p>
        </w:tc>
        <w:tc>
          <w:tcPr>
            <w:tcW w:w="679" w:type="dxa"/>
          </w:tcPr>
          <w:p w14:paraId="24299E39">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p>
        </w:tc>
      </w:tr>
      <w:tr w14:paraId="7980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524" w:type="dxa"/>
            <w:vMerge w:val="continue"/>
            <w:vAlign w:val="center"/>
          </w:tcPr>
          <w:p w14:paraId="6C84C507">
            <w:pPr>
              <w:spacing w:line="340" w:lineRule="exact"/>
              <w:ind w:firstLine="560" w:firstLineChars="200"/>
              <w:jc w:val="center"/>
              <w:rPr>
                <w:rFonts w:hint="eastAsia" w:ascii="仿宋_GB2312" w:hAnsi="仿宋_GB2312" w:eastAsia="仿宋_GB2312" w:cs="仿宋_GB2312"/>
                <w:bCs/>
                <w:color w:val="auto"/>
                <w:sz w:val="28"/>
                <w:szCs w:val="28"/>
                <w:highlight w:val="none"/>
                <w:lang w:val="en-US" w:eastAsia="zh-CN"/>
              </w:rPr>
            </w:pPr>
          </w:p>
        </w:tc>
        <w:tc>
          <w:tcPr>
            <w:tcW w:w="660" w:type="dxa"/>
            <w:vMerge w:val="continue"/>
            <w:vAlign w:val="center"/>
          </w:tcPr>
          <w:p w14:paraId="028DDDDA">
            <w:pPr>
              <w:spacing w:line="340" w:lineRule="exact"/>
              <w:ind w:firstLine="560" w:firstLineChars="200"/>
              <w:jc w:val="both"/>
              <w:rPr>
                <w:rFonts w:hint="eastAsia" w:ascii="仿宋_GB2312" w:hAnsi="仿宋_GB2312" w:eastAsia="仿宋_GB2312" w:cs="仿宋_GB2312"/>
                <w:bCs/>
                <w:color w:val="auto"/>
                <w:sz w:val="28"/>
                <w:szCs w:val="28"/>
                <w:highlight w:val="none"/>
                <w:lang w:val="en-US" w:eastAsia="zh-CN"/>
              </w:rPr>
            </w:pPr>
          </w:p>
        </w:tc>
        <w:tc>
          <w:tcPr>
            <w:tcW w:w="1185" w:type="dxa"/>
            <w:vAlign w:val="center"/>
          </w:tcPr>
          <w:p w14:paraId="4F0DFB3E">
            <w:pPr>
              <w:spacing w:line="340" w:lineRule="exact"/>
              <w:jc w:val="left"/>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（5）项目经验与业绩（满分</w:t>
            </w:r>
            <w:r>
              <w:rPr>
                <w:rFonts w:hint="default" w:ascii="Times New Roman" w:hAnsi="Times New Roman" w:eastAsia="仿宋_GB2312" w:cs="Times New Roman"/>
                <w:bCs/>
                <w:color w:val="auto"/>
                <w:sz w:val="28"/>
                <w:szCs w:val="28"/>
                <w:highlight w:val="none"/>
                <w:lang w:val="en-US" w:eastAsia="zh-CN"/>
              </w:rPr>
              <w:t>20</w:t>
            </w:r>
            <w:r>
              <w:rPr>
                <w:rFonts w:hint="eastAsia" w:ascii="仿宋_GB2312" w:hAnsi="仿宋_GB2312" w:eastAsia="仿宋_GB2312" w:cs="仿宋_GB2312"/>
                <w:bCs/>
                <w:color w:val="auto"/>
                <w:sz w:val="28"/>
                <w:szCs w:val="28"/>
                <w:highlight w:val="none"/>
                <w:lang w:val="en-US" w:eastAsia="zh-CN"/>
              </w:rPr>
              <w:t>分）</w:t>
            </w:r>
          </w:p>
        </w:tc>
        <w:tc>
          <w:tcPr>
            <w:tcW w:w="7186" w:type="dxa"/>
            <w:vAlign w:val="center"/>
          </w:tcPr>
          <w:p w14:paraId="043F640D">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相关工作案例：</w:t>
            </w:r>
          </w:p>
          <w:p w14:paraId="4F7FCC82">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2023</w:t>
            </w:r>
            <w:r>
              <w:rPr>
                <w:rFonts w:hint="eastAsia" w:ascii="仿宋_GB2312" w:hAnsi="仿宋_GB2312" w:eastAsia="仿宋_GB2312" w:cs="仿宋_GB2312"/>
                <w:bCs/>
                <w:color w:val="auto"/>
                <w:sz w:val="28"/>
                <w:szCs w:val="28"/>
                <w:highlight w:val="none"/>
                <w:lang w:val="en-US" w:eastAsia="zh-CN"/>
              </w:rPr>
              <w:t>年以来，承接政府部门委托的专精特新中小企业、专精特新“小巨人”企业培育辅导项目（提交证明材料：服务协议或合同），自治区级项目1个项目得</w:t>
            </w:r>
            <w:r>
              <w:rPr>
                <w:rFonts w:hint="default" w:ascii="Times New Roman" w:hAnsi="Times New Roman" w:eastAsia="仿宋_GB2312" w:cs="Times New Roman"/>
                <w:bCs/>
                <w:color w:val="auto"/>
                <w:sz w:val="28"/>
                <w:szCs w:val="28"/>
                <w:highlight w:val="none"/>
                <w:lang w:val="en-US" w:eastAsia="zh-CN"/>
              </w:rPr>
              <w:t>8</w:t>
            </w:r>
            <w:r>
              <w:rPr>
                <w:rFonts w:hint="eastAsia" w:ascii="仿宋_GB2312" w:hAnsi="仿宋_GB2312" w:eastAsia="仿宋_GB2312" w:cs="仿宋_GB2312"/>
                <w:bCs/>
                <w:color w:val="auto"/>
                <w:sz w:val="28"/>
                <w:szCs w:val="28"/>
                <w:highlight w:val="none"/>
                <w:lang w:val="en-US" w:eastAsia="zh-CN"/>
              </w:rPr>
              <w:t>分，市级项目</w:t>
            </w:r>
            <w:r>
              <w:rPr>
                <w:rFonts w:hint="default" w:ascii="Times New Roman" w:hAnsi="Times New Roman" w:eastAsia="仿宋_GB2312" w:cs="Times New Roman"/>
                <w:bCs/>
                <w:color w:val="auto"/>
                <w:sz w:val="28"/>
                <w:szCs w:val="28"/>
                <w:highlight w:val="none"/>
                <w:lang w:val="en-US" w:eastAsia="zh-CN"/>
              </w:rPr>
              <w:t>1</w:t>
            </w:r>
            <w:r>
              <w:rPr>
                <w:rFonts w:hint="eastAsia" w:ascii="仿宋_GB2312" w:hAnsi="仿宋_GB2312" w:eastAsia="仿宋_GB2312" w:cs="仿宋_GB2312"/>
                <w:bCs/>
                <w:color w:val="auto"/>
                <w:sz w:val="28"/>
                <w:szCs w:val="28"/>
                <w:highlight w:val="none"/>
                <w:lang w:val="en-US" w:eastAsia="zh-CN"/>
              </w:rPr>
              <w:t>个项目得</w:t>
            </w:r>
            <w:r>
              <w:rPr>
                <w:rFonts w:hint="default" w:ascii="Times New Roman" w:hAnsi="Times New Roman" w:eastAsia="仿宋_GB2312" w:cs="Times New Roman"/>
                <w:bCs/>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lang w:val="en-US" w:eastAsia="zh-CN"/>
              </w:rPr>
              <w:t>分，最高得</w:t>
            </w:r>
            <w:r>
              <w:rPr>
                <w:rFonts w:hint="default" w:ascii="Times New Roman" w:hAnsi="Times New Roman" w:eastAsia="仿宋_GB2312" w:cs="Times New Roman"/>
                <w:bCs/>
                <w:color w:val="auto"/>
                <w:sz w:val="28"/>
                <w:szCs w:val="28"/>
                <w:highlight w:val="none"/>
                <w:lang w:val="en-US" w:eastAsia="zh-CN"/>
              </w:rPr>
              <w:t>20</w:t>
            </w:r>
            <w:r>
              <w:rPr>
                <w:rFonts w:hint="eastAsia" w:ascii="仿宋_GB2312" w:hAnsi="仿宋_GB2312" w:eastAsia="仿宋_GB2312" w:cs="仿宋_GB2312"/>
                <w:bCs/>
                <w:color w:val="auto"/>
                <w:sz w:val="28"/>
                <w:szCs w:val="28"/>
                <w:highlight w:val="none"/>
                <w:lang w:val="en-US" w:eastAsia="zh-CN"/>
              </w:rPr>
              <w:t>分。</w:t>
            </w:r>
          </w:p>
        </w:tc>
        <w:tc>
          <w:tcPr>
            <w:tcW w:w="679" w:type="dxa"/>
          </w:tcPr>
          <w:p w14:paraId="3AD57B2E">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p>
        </w:tc>
      </w:tr>
      <w:tr w14:paraId="68BD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jc w:val="center"/>
        </w:trPr>
        <w:tc>
          <w:tcPr>
            <w:tcW w:w="524" w:type="dxa"/>
            <w:vMerge w:val="continue"/>
            <w:vAlign w:val="center"/>
          </w:tcPr>
          <w:p w14:paraId="27FF04E6">
            <w:pPr>
              <w:spacing w:line="340" w:lineRule="exact"/>
              <w:ind w:firstLine="560" w:firstLineChars="200"/>
              <w:jc w:val="center"/>
              <w:rPr>
                <w:rFonts w:hint="eastAsia" w:ascii="仿宋_GB2312" w:hAnsi="仿宋_GB2312" w:eastAsia="仿宋_GB2312" w:cs="仿宋_GB2312"/>
                <w:bCs/>
                <w:color w:val="auto"/>
                <w:sz w:val="28"/>
                <w:szCs w:val="28"/>
                <w:highlight w:val="none"/>
                <w:lang w:val="en-US" w:eastAsia="zh-CN"/>
              </w:rPr>
            </w:pPr>
          </w:p>
        </w:tc>
        <w:tc>
          <w:tcPr>
            <w:tcW w:w="660" w:type="dxa"/>
            <w:vMerge w:val="continue"/>
            <w:vAlign w:val="center"/>
          </w:tcPr>
          <w:p w14:paraId="14B18B22">
            <w:pPr>
              <w:spacing w:line="340" w:lineRule="exact"/>
              <w:ind w:firstLine="560" w:firstLineChars="200"/>
              <w:jc w:val="both"/>
              <w:rPr>
                <w:rFonts w:hint="eastAsia" w:ascii="仿宋_GB2312" w:hAnsi="仿宋_GB2312" w:eastAsia="仿宋_GB2312" w:cs="仿宋_GB2312"/>
                <w:bCs/>
                <w:color w:val="auto"/>
                <w:sz w:val="28"/>
                <w:szCs w:val="28"/>
                <w:highlight w:val="none"/>
                <w:lang w:val="en-US" w:eastAsia="zh-CN"/>
              </w:rPr>
            </w:pPr>
          </w:p>
        </w:tc>
        <w:tc>
          <w:tcPr>
            <w:tcW w:w="1185" w:type="dxa"/>
            <w:vAlign w:val="center"/>
          </w:tcPr>
          <w:p w14:paraId="2729A3E3">
            <w:pPr>
              <w:spacing w:line="340" w:lineRule="exact"/>
              <w:jc w:val="left"/>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（6）诚信分考核分（-10）</w:t>
            </w:r>
          </w:p>
        </w:tc>
        <w:tc>
          <w:tcPr>
            <w:tcW w:w="7186" w:type="dxa"/>
            <w:vAlign w:val="center"/>
          </w:tcPr>
          <w:p w14:paraId="02A24DF4">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服务机构在截标日前一年内在政府采购活动中存在违约违规情形的（以财政部门书面认定材料为评分依据），每次扣除</w:t>
            </w:r>
            <w:r>
              <w:rPr>
                <w:rFonts w:hint="default" w:ascii="Times New Roman" w:hAnsi="Times New Roman" w:eastAsia="仿宋_GB2312" w:cs="Times New Roman"/>
                <w:bCs/>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lang w:val="en-US" w:eastAsia="zh-CN"/>
              </w:rPr>
              <w:t>分，最高扣</w:t>
            </w:r>
            <w:r>
              <w:rPr>
                <w:rFonts w:hint="default" w:ascii="Times New Roman" w:hAnsi="Times New Roman" w:eastAsia="仿宋_GB2312" w:cs="Times New Roman"/>
                <w:bCs/>
                <w:color w:val="auto"/>
                <w:sz w:val="28"/>
                <w:szCs w:val="28"/>
                <w:highlight w:val="none"/>
                <w:lang w:val="en-US" w:eastAsia="zh-CN"/>
              </w:rPr>
              <w:t>10</w:t>
            </w:r>
            <w:r>
              <w:rPr>
                <w:rFonts w:hint="eastAsia" w:ascii="仿宋_GB2312" w:hAnsi="仿宋_GB2312" w:eastAsia="仿宋_GB2312" w:cs="仿宋_GB2312"/>
                <w:bCs/>
                <w:color w:val="auto"/>
                <w:sz w:val="28"/>
                <w:szCs w:val="28"/>
                <w:highlight w:val="none"/>
                <w:lang w:val="en-US" w:eastAsia="zh-CN"/>
              </w:rPr>
              <w:t>分。（若存在违约违规情形，由服务机构提供认定材料；若不存在违约违规情形，提供无违约违规情形书面声明，格式自拟，加盖公章。若在项目处于质疑期，被其他利害关系服务机构质疑或监督管理部门查实在政府采购活动中存在违约违规情形的，采购人有权将以提供虚假材料处理，报政府采购监督管理部门进行处罚）</w:t>
            </w:r>
          </w:p>
        </w:tc>
        <w:tc>
          <w:tcPr>
            <w:tcW w:w="679" w:type="dxa"/>
          </w:tcPr>
          <w:p w14:paraId="7020751B">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p>
        </w:tc>
      </w:tr>
      <w:tr w14:paraId="4955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524" w:type="dxa"/>
            <w:vAlign w:val="center"/>
          </w:tcPr>
          <w:p w14:paraId="16630F18">
            <w:pPr>
              <w:spacing w:line="340" w:lineRule="exact"/>
              <w:jc w:val="center"/>
              <w:rPr>
                <w:rFonts w:hint="eastAsia" w:ascii="仿宋_GB2312" w:hAnsi="仿宋_GB2312" w:eastAsia="仿宋_GB2312" w:cs="仿宋_GB2312"/>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3</w:t>
            </w:r>
          </w:p>
        </w:tc>
        <w:tc>
          <w:tcPr>
            <w:tcW w:w="660" w:type="dxa"/>
            <w:vAlign w:val="center"/>
          </w:tcPr>
          <w:p w14:paraId="5517C1C9">
            <w:pPr>
              <w:spacing w:line="340" w:lineRule="exact"/>
              <w:jc w:val="both"/>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价格分︵满分</w:t>
            </w:r>
            <w:r>
              <w:rPr>
                <w:rFonts w:hint="default" w:ascii="Times New Roman" w:hAnsi="Times New Roman" w:eastAsia="仿宋_GB2312" w:cs="Times New Roman"/>
                <w:bCs/>
                <w:color w:val="auto"/>
                <w:sz w:val="28"/>
                <w:szCs w:val="28"/>
                <w:highlight w:val="none"/>
                <w:lang w:val="en-US" w:eastAsia="zh-CN"/>
              </w:rPr>
              <w:t>20</w:t>
            </w:r>
            <w:r>
              <w:rPr>
                <w:rFonts w:hint="eastAsia" w:ascii="仿宋_GB2312" w:hAnsi="仿宋_GB2312" w:eastAsia="仿宋_GB2312" w:cs="仿宋_GB2312"/>
                <w:bCs/>
                <w:color w:val="auto"/>
                <w:sz w:val="28"/>
                <w:szCs w:val="28"/>
                <w:highlight w:val="none"/>
                <w:lang w:val="en-US" w:eastAsia="zh-CN"/>
              </w:rPr>
              <w:t>分︶</w:t>
            </w:r>
          </w:p>
        </w:tc>
        <w:tc>
          <w:tcPr>
            <w:tcW w:w="1185" w:type="dxa"/>
            <w:vAlign w:val="center"/>
          </w:tcPr>
          <w:p w14:paraId="64E71923">
            <w:pPr>
              <w:spacing w:line="340" w:lineRule="exact"/>
              <w:jc w:val="left"/>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lang w:val="en-US" w:eastAsia="zh-CN"/>
              </w:rPr>
              <w:t>7</w:t>
            </w:r>
            <w:r>
              <w:rPr>
                <w:rFonts w:hint="eastAsia" w:ascii="仿宋_GB2312" w:hAnsi="仿宋_GB2312" w:eastAsia="仿宋_GB2312" w:cs="仿宋_GB2312"/>
                <w:bCs/>
                <w:color w:val="auto"/>
                <w:sz w:val="28"/>
                <w:szCs w:val="28"/>
                <w:highlight w:val="none"/>
                <w:lang w:val="en-US" w:eastAsia="zh-CN"/>
              </w:rPr>
              <w:t>）报价得分</w:t>
            </w:r>
          </w:p>
        </w:tc>
        <w:tc>
          <w:tcPr>
            <w:tcW w:w="7186" w:type="dxa"/>
            <w:vAlign w:val="center"/>
          </w:tcPr>
          <w:p w14:paraId="3D2BD748">
            <w:pPr>
              <w:spacing w:line="340" w:lineRule="exact"/>
              <w:ind w:firstLine="0" w:firstLineChars="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（1）满足遴选公告对服务机构的要求，且价格最低的报价为基准价，其服务机构的报价分为最高分</w:t>
            </w:r>
            <w:r>
              <w:rPr>
                <w:rFonts w:hint="default" w:ascii="Times New Roman" w:hAnsi="Times New Roman" w:eastAsia="仿宋_GB2312" w:cs="Times New Roman"/>
                <w:bCs/>
                <w:color w:val="auto"/>
                <w:sz w:val="28"/>
                <w:szCs w:val="28"/>
                <w:highlight w:val="none"/>
                <w:lang w:val="en-US" w:eastAsia="zh-CN"/>
              </w:rPr>
              <w:t>20</w:t>
            </w:r>
            <w:r>
              <w:rPr>
                <w:rFonts w:hint="eastAsia" w:ascii="仿宋_GB2312" w:hAnsi="仿宋_GB2312" w:eastAsia="仿宋_GB2312" w:cs="仿宋_GB2312"/>
                <w:bCs/>
                <w:color w:val="auto"/>
                <w:sz w:val="28"/>
                <w:szCs w:val="28"/>
                <w:highlight w:val="none"/>
                <w:lang w:val="en-US" w:eastAsia="zh-CN"/>
              </w:rPr>
              <w:t>分；</w:t>
            </w:r>
          </w:p>
          <w:p w14:paraId="58B494FF">
            <w:pPr>
              <w:spacing w:line="340" w:lineRule="exact"/>
              <w:ind w:firstLine="0" w:firstLineChars="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（2）价格分计算公式：　</w:t>
            </w:r>
          </w:p>
          <w:p w14:paraId="3F3A5F75">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报价得分</w:t>
            </w:r>
            <w:r>
              <w:rPr>
                <w:rFonts w:hint="eastAsia" w:ascii="微软雅黑" w:hAnsi="微软雅黑" w:eastAsia="微软雅黑" w:cs="微软雅黑"/>
                <w:bCs/>
                <w:color w:val="auto"/>
                <w:sz w:val="28"/>
                <w:szCs w:val="28"/>
                <w:highlight w:val="none"/>
                <w:lang w:val="en-US" w:eastAsia="zh-CN"/>
              </w:rPr>
              <w:t>=</w:t>
            </w:r>
            <w:r>
              <w:rPr>
                <w:rFonts w:hint="eastAsia" w:ascii="仿宋_GB2312" w:hAnsi="仿宋_GB2312" w:eastAsia="仿宋_GB2312" w:cs="仿宋_GB2312"/>
                <w:bCs/>
                <w:color w:val="auto"/>
                <w:sz w:val="28"/>
                <w:szCs w:val="28"/>
                <w:highlight w:val="none"/>
                <w:lang w:val="en-US" w:eastAsia="zh-CN"/>
              </w:rPr>
              <w:t>（基准价／某服务机构报价）×</w:t>
            </w:r>
            <w:r>
              <w:rPr>
                <w:rFonts w:hint="default" w:ascii="Times New Roman" w:hAnsi="Times New Roman" w:eastAsia="仿宋_GB2312" w:cs="Times New Roman"/>
                <w:bCs/>
                <w:color w:val="auto"/>
                <w:sz w:val="28"/>
                <w:szCs w:val="28"/>
                <w:highlight w:val="none"/>
                <w:lang w:val="en-US" w:eastAsia="zh-CN"/>
              </w:rPr>
              <w:t>20</w:t>
            </w:r>
            <w:r>
              <w:rPr>
                <w:rFonts w:hint="eastAsia" w:ascii="仿宋_GB2312" w:hAnsi="仿宋_GB2312" w:eastAsia="仿宋_GB2312" w:cs="仿宋_GB2312"/>
                <w:bCs/>
                <w:color w:val="auto"/>
                <w:sz w:val="28"/>
                <w:szCs w:val="28"/>
                <w:highlight w:val="none"/>
                <w:lang w:val="en-US" w:eastAsia="zh-CN"/>
              </w:rPr>
              <w:t>分；</w:t>
            </w:r>
          </w:p>
          <w:p w14:paraId="26E30394">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p>
        </w:tc>
        <w:tc>
          <w:tcPr>
            <w:tcW w:w="679" w:type="dxa"/>
          </w:tcPr>
          <w:p w14:paraId="535A271E">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p>
        </w:tc>
      </w:tr>
      <w:tr w14:paraId="1B7C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24" w:type="dxa"/>
          </w:tcPr>
          <w:p w14:paraId="71BF957D">
            <w:pPr>
              <w:spacing w:line="340" w:lineRule="exact"/>
              <w:ind w:firstLine="560" w:firstLineChars="200"/>
              <w:jc w:val="center"/>
              <w:rPr>
                <w:rFonts w:hint="eastAsia" w:ascii="仿宋_GB2312" w:hAnsi="仿宋_GB2312" w:eastAsia="仿宋_GB2312" w:cs="仿宋_GB2312"/>
                <w:bCs/>
                <w:color w:val="auto"/>
                <w:sz w:val="28"/>
                <w:szCs w:val="28"/>
                <w:highlight w:val="none"/>
                <w:lang w:val="en-US" w:eastAsia="zh-CN"/>
              </w:rPr>
            </w:pPr>
          </w:p>
        </w:tc>
        <w:tc>
          <w:tcPr>
            <w:tcW w:w="9031" w:type="dxa"/>
            <w:gridSpan w:val="3"/>
            <w:vAlign w:val="center"/>
          </w:tcPr>
          <w:p w14:paraId="12EBC95D">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　合计得分</w:t>
            </w:r>
          </w:p>
        </w:tc>
        <w:tc>
          <w:tcPr>
            <w:tcW w:w="679" w:type="dxa"/>
          </w:tcPr>
          <w:p w14:paraId="5C8C3AAF">
            <w:pPr>
              <w:spacing w:line="340" w:lineRule="exact"/>
              <w:ind w:firstLine="560" w:firstLineChars="200"/>
              <w:rPr>
                <w:rFonts w:hint="eastAsia" w:ascii="仿宋_GB2312" w:hAnsi="仿宋_GB2312" w:eastAsia="仿宋_GB2312" w:cs="仿宋_GB2312"/>
                <w:bCs/>
                <w:color w:val="auto"/>
                <w:sz w:val="28"/>
                <w:szCs w:val="28"/>
                <w:highlight w:val="none"/>
                <w:lang w:val="en-US" w:eastAsia="zh-CN"/>
              </w:rPr>
            </w:pPr>
          </w:p>
        </w:tc>
      </w:tr>
      <w:bookmarkEnd w:id="0"/>
    </w:tbl>
    <w:p w14:paraId="62FFF3D9">
      <w:pPr>
        <w:keepNext w:val="0"/>
        <w:keepLines w:val="0"/>
        <w:pageBreakBefore w:val="0"/>
        <w:kinsoku/>
        <w:wordWrap/>
        <w:overflowPunct/>
        <w:topLinePunct w:val="0"/>
        <w:autoSpaceDE/>
        <w:autoSpaceDN/>
        <w:bidi w:val="0"/>
        <w:adjustRightInd/>
        <w:snapToGrid/>
        <w:spacing w:line="14" w:lineRule="exact"/>
        <w:ind w:firstLine="880" w:firstLineChars="200"/>
        <w:textAlignment w:val="auto"/>
        <w:rPr>
          <w:rFonts w:hint="default" w:ascii="方正小标宋简体" w:hAnsi="黑体" w:eastAsia="方正小标宋简体" w:cs="黑体"/>
          <w:sz w:val="44"/>
          <w:szCs w:val="44"/>
          <w:lang w:val="en-US" w:eastAsia="zh-CN"/>
        </w:rPr>
      </w:pPr>
    </w:p>
    <w:sectPr>
      <w:footerReference r:id="rId3" w:type="default"/>
      <w:pgSz w:w="11906" w:h="16838"/>
      <w:pgMar w:top="1644" w:right="1417" w:bottom="1871"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D44731-CCFE-4420-BBFA-D4A5C68FC4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2" w:fontKey="{A6AC198F-B758-4F4D-8BE0-242D0956004D}"/>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3" w:fontKey="{DD9625B8-5FA6-438B-BEBC-225F12F975E9}"/>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4" w:fontKey="{F8E7EE3D-D060-4398-9F71-284E2A5C9F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B754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5E472">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15E472">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67772"/>
    <w:multiLevelType w:val="singleLevel"/>
    <w:tmpl w:val="8266777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OTY5Zjg2MWZhN2U2YzdlMWNiNTc3MjFkNzgwZmYifQ=="/>
  </w:docVars>
  <w:rsids>
    <w:rsidRoot w:val="2F902A5B"/>
    <w:rsid w:val="003532FE"/>
    <w:rsid w:val="00D24FF0"/>
    <w:rsid w:val="01345B0D"/>
    <w:rsid w:val="015679D0"/>
    <w:rsid w:val="017D4F5C"/>
    <w:rsid w:val="033A3E39"/>
    <w:rsid w:val="06562220"/>
    <w:rsid w:val="06B31420"/>
    <w:rsid w:val="073C1416"/>
    <w:rsid w:val="09CB66D1"/>
    <w:rsid w:val="0BCD715A"/>
    <w:rsid w:val="0BE36304"/>
    <w:rsid w:val="0C1432AF"/>
    <w:rsid w:val="0CF83480"/>
    <w:rsid w:val="10EA3808"/>
    <w:rsid w:val="12704669"/>
    <w:rsid w:val="1517701E"/>
    <w:rsid w:val="15C060C7"/>
    <w:rsid w:val="18C748B7"/>
    <w:rsid w:val="1A7458C1"/>
    <w:rsid w:val="1AE91480"/>
    <w:rsid w:val="1B3F1AA6"/>
    <w:rsid w:val="1B913F1E"/>
    <w:rsid w:val="1C6C5EA1"/>
    <w:rsid w:val="1E0E375C"/>
    <w:rsid w:val="1EB61656"/>
    <w:rsid w:val="208A2D9A"/>
    <w:rsid w:val="210743EB"/>
    <w:rsid w:val="218D2B42"/>
    <w:rsid w:val="251010EA"/>
    <w:rsid w:val="25463FD4"/>
    <w:rsid w:val="27B16DAB"/>
    <w:rsid w:val="29C410CB"/>
    <w:rsid w:val="2BE912BD"/>
    <w:rsid w:val="2C8A5774"/>
    <w:rsid w:val="2E5C264E"/>
    <w:rsid w:val="2F902A5B"/>
    <w:rsid w:val="31666249"/>
    <w:rsid w:val="36545584"/>
    <w:rsid w:val="3872263A"/>
    <w:rsid w:val="3B854432"/>
    <w:rsid w:val="3CD0745B"/>
    <w:rsid w:val="3D440B11"/>
    <w:rsid w:val="3D937AD8"/>
    <w:rsid w:val="400718BA"/>
    <w:rsid w:val="41044DDE"/>
    <w:rsid w:val="41390199"/>
    <w:rsid w:val="421B164C"/>
    <w:rsid w:val="426E09AF"/>
    <w:rsid w:val="452627E2"/>
    <w:rsid w:val="45703A5D"/>
    <w:rsid w:val="47ED165A"/>
    <w:rsid w:val="498875C7"/>
    <w:rsid w:val="499F60FC"/>
    <w:rsid w:val="4A0D21C2"/>
    <w:rsid w:val="4A1C2405"/>
    <w:rsid w:val="4D84279B"/>
    <w:rsid w:val="4EA608E0"/>
    <w:rsid w:val="501415AE"/>
    <w:rsid w:val="5326371C"/>
    <w:rsid w:val="548B5741"/>
    <w:rsid w:val="5B37709F"/>
    <w:rsid w:val="5B5A2ED3"/>
    <w:rsid w:val="5CD01AE3"/>
    <w:rsid w:val="5D2F76AB"/>
    <w:rsid w:val="5E5D219A"/>
    <w:rsid w:val="60292F74"/>
    <w:rsid w:val="618B3CA1"/>
    <w:rsid w:val="61DE0274"/>
    <w:rsid w:val="636C7B02"/>
    <w:rsid w:val="64A31C67"/>
    <w:rsid w:val="65367809"/>
    <w:rsid w:val="65AD2594"/>
    <w:rsid w:val="688C3C05"/>
    <w:rsid w:val="696F20FA"/>
    <w:rsid w:val="69B46611"/>
    <w:rsid w:val="6C055C95"/>
    <w:rsid w:val="6C7D68DC"/>
    <w:rsid w:val="6C841A18"/>
    <w:rsid w:val="6CB0280D"/>
    <w:rsid w:val="6DD86BE4"/>
    <w:rsid w:val="6DFD7CD4"/>
    <w:rsid w:val="6F5558EE"/>
    <w:rsid w:val="6F5B1156"/>
    <w:rsid w:val="70CD2325"/>
    <w:rsid w:val="71942241"/>
    <w:rsid w:val="72895FDA"/>
    <w:rsid w:val="74442E6C"/>
    <w:rsid w:val="748F47D3"/>
    <w:rsid w:val="75C4088A"/>
    <w:rsid w:val="774B384F"/>
    <w:rsid w:val="777619E6"/>
    <w:rsid w:val="79CD2C51"/>
    <w:rsid w:val="7B524E15"/>
    <w:rsid w:val="7BB120C7"/>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320" w:lineRule="exact"/>
      <w:ind w:firstLine="200" w:firstLineChars="200"/>
    </w:pPr>
    <w:rPr>
      <w:rFonts w:ascii="Times New Roman" w:hAnsi="Times New Roman" w:eastAsia="宋体" w:cs="Times New Roman"/>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2611</Words>
  <Characters>2688</Characters>
  <Lines>0</Lines>
  <Paragraphs>0</Paragraphs>
  <TotalTime>16</TotalTime>
  <ScaleCrop>false</ScaleCrop>
  <LinksUpToDate>false</LinksUpToDate>
  <CharactersWithSpaces>2748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2024-05-10T07:11:00Z</dcterms:created>
  <dc:creator>小玲子</dc:creator>
  <cp:lastModifiedBy>剑雨潇潇</cp:lastModifiedBy>
  <cp:lastPrinted>2025-04-22T07:25:00Z</cp:lastPrinted>
  <dcterms:modified xsi:type="dcterms:W3CDTF">2025-04-25T08:02:21Z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C720B83ABA864AA3AE53765181B4B1A9_13</vt:lpwstr>
  </property>
  <property fmtid="{D5CDD505-2E9C-101B-9397-08002B2CF9AE}" pid="4" name="KSOTemplateDocerSaveRecord">
    <vt:lpwstr>eyJoZGlkIjoiZDhmZDIxNTBhMTM1Y2QwMDlmODdkMjg2OWY5MDUyZDMiLCJ1c2VySWQiOiI1MTAzMjAxNTcifQ==</vt:lpwstr>
  </property>
</Properties>
</file>