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napToGrid w:val="0"/>
          <w:kern w:val="0"/>
          <w:sz w:val="32"/>
          <w:szCs w:val="32"/>
        </w:rPr>
        <w:t>附件4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2024年度广西高级职称评审进度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napToGrid w:val="0"/>
          <w:kern w:val="0"/>
          <w:sz w:val="44"/>
          <w:szCs w:val="44"/>
        </w:rPr>
        <w:t>及时间安排表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sz w:val="32"/>
          <w:szCs w:val="32"/>
        </w:rPr>
      </w:pPr>
    </w:p>
    <w:tbl>
      <w:tblPr>
        <w:tblStyle w:val="2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889"/>
        <w:gridCol w:w="4197"/>
        <w:gridCol w:w="2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  <w:t>时间</w:t>
            </w: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  <w:t>步骤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napToGrid w:val="0"/>
                <w:sz w:val="28"/>
                <w:szCs w:val="28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88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6月底前</w:t>
            </w: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印发年度评审部署文件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各市人社局、各系列（行业）主管部门及各高级评委会组建单位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889" w:type="dxa"/>
            <w:vMerge w:val="restart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6—8月</w:t>
            </w: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个人材料准备和申报阶段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1889" w:type="dxa"/>
            <w:vMerge w:val="continue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单位审核推荐；各级、各系列</w:t>
            </w:r>
          </w:p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人事（职改）部门汇总审核、</w:t>
            </w:r>
          </w:p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呈报阶段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各市人社局、各系列（行业）主管部门及各高级评委会组建单位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88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9—11月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中旬</w:t>
            </w: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高级评委会评审阶段。各高级评委会原则上于11月中旬前完成评审、组织审核、职改办抽查复核</w:t>
            </w:r>
          </w:p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及评审结果公示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各市人社局、各系列（行业）主管部门及各高级评委会组建单位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889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11月中旬—</w:t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12月</w:t>
            </w:r>
          </w:p>
        </w:tc>
        <w:tc>
          <w:tcPr>
            <w:tcW w:w="4197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分批审核确认及发文</w:t>
            </w:r>
          </w:p>
        </w:tc>
        <w:tc>
          <w:tcPr>
            <w:tcW w:w="2986" w:type="dxa"/>
            <w:noWrap w:val="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自治区人力资源社会保障厅、各市人社局、各系列（行业）主管部门及各高级评委会组建</w:t>
            </w:r>
          </w:p>
          <w:p>
            <w:pPr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z w:val="28"/>
                <w:szCs w:val="28"/>
              </w:rPr>
              <w:t>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06CA8"/>
    <w:rsid w:val="1200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2024-06-07T07:34:00Z</dcterms:created>
  <dc:creator>Administrator</dc:creator>
  <cp:lastModifiedBy>Administrator</cp:lastModifiedBy>
  <dcterms:modified xsi:type="dcterms:W3CDTF">2024-06-07T07:34:55Z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