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b/>
          <w:bCs/>
          <w:sz w:val="48"/>
          <w:szCs w:val="48"/>
          <w:lang w:val="zh-TW"/>
        </w:rPr>
      </w:pPr>
      <w:r>
        <w:rPr>
          <w:rFonts w:eastAsia="黑体"/>
          <w:sz w:val="32"/>
          <w:szCs w:val="32"/>
        </w:rPr>
        <w:t>附件2</w:t>
      </w:r>
    </w:p>
    <w:p>
      <w:pPr>
        <w:adjustRightInd w:val="0"/>
        <w:snapToGrid w:val="0"/>
        <w:spacing w:line="590" w:lineRule="exact"/>
        <w:rPr>
          <w:rFonts w:eastAsia="方正小标宋简体"/>
          <w:b/>
          <w:bCs/>
          <w:color w:val="000000"/>
          <w:sz w:val="48"/>
          <w:szCs w:val="48"/>
          <w:u w:color="000000"/>
          <w:lang w:val="zh-TW"/>
        </w:rPr>
      </w:pPr>
    </w:p>
    <w:p>
      <w:pPr>
        <w:adjustRightInd w:val="0"/>
        <w:snapToGrid w:val="0"/>
        <w:spacing w:line="590" w:lineRule="exact"/>
        <w:jc w:val="center"/>
        <w:rPr>
          <w:rFonts w:eastAsia="方正小标宋简体"/>
          <w:bCs/>
          <w:color w:val="000000"/>
          <w:sz w:val="44"/>
          <w:szCs w:val="44"/>
          <w:u w:color="000000"/>
          <w:lang w:val="zh-TW" w:eastAsia="zh-TW"/>
        </w:rPr>
      </w:pPr>
      <w:r>
        <w:rPr>
          <w:rFonts w:hint="eastAsia" w:eastAsia="方正小标宋简体"/>
          <w:bCs/>
          <w:color w:val="000000"/>
          <w:sz w:val="44"/>
          <w:szCs w:val="44"/>
          <w:u w:color="000000"/>
          <w:lang w:val="zh-TW" w:eastAsia="zh-CN"/>
        </w:rPr>
        <w:t>中国—东盟</w:t>
      </w:r>
      <w:r>
        <w:rPr>
          <w:rFonts w:eastAsia="方正小标宋简体"/>
          <w:bCs/>
          <w:color w:val="000000"/>
          <w:sz w:val="44"/>
          <w:szCs w:val="44"/>
          <w:u w:color="000000"/>
          <w:lang w:val="zh-TW" w:eastAsia="zh-TW"/>
        </w:rPr>
        <w:t>（华为）人工智能创新中心</w:t>
      </w:r>
    </w:p>
    <w:p>
      <w:pPr>
        <w:adjustRightInd w:val="0"/>
        <w:snapToGrid w:val="0"/>
        <w:spacing w:line="590" w:lineRule="exact"/>
        <w:jc w:val="center"/>
        <w:rPr>
          <w:rFonts w:eastAsia="方正小标宋_GBK"/>
          <w:bCs/>
          <w:color w:val="000000"/>
          <w:sz w:val="44"/>
          <w:szCs w:val="44"/>
          <w:u w:color="000000"/>
          <w:lang w:val="zh-TW" w:eastAsia="zh-TW"/>
        </w:rPr>
      </w:pPr>
      <w:r>
        <w:rPr>
          <w:rFonts w:eastAsia="方正小标宋简体"/>
          <w:bCs/>
          <w:color w:val="000000"/>
          <w:sz w:val="44"/>
          <w:szCs w:val="44"/>
          <w:u w:color="000000"/>
        </w:rPr>
        <w:t>2022年</w:t>
      </w:r>
      <w:r>
        <w:rPr>
          <w:rFonts w:eastAsia="方正小标宋简体"/>
          <w:bCs/>
          <w:color w:val="000000"/>
          <w:sz w:val="44"/>
          <w:szCs w:val="44"/>
          <w:u w:color="000000"/>
          <w:lang w:val="zh-TW" w:eastAsia="zh-TW"/>
        </w:rPr>
        <w:t>专项补贴</w:t>
      </w:r>
      <w:r>
        <w:rPr>
          <w:rFonts w:eastAsia="方正小标宋简体"/>
          <w:bCs/>
          <w:color w:val="000000"/>
          <w:sz w:val="44"/>
          <w:szCs w:val="44"/>
          <w:u w:color="000000"/>
        </w:rPr>
        <w:t>项目申报</w:t>
      </w:r>
      <w:r>
        <w:rPr>
          <w:rFonts w:eastAsia="方正小标宋简体"/>
          <w:bCs/>
          <w:color w:val="000000"/>
          <w:sz w:val="44"/>
          <w:szCs w:val="44"/>
          <w:u w:color="000000"/>
          <w:lang w:val="zh-TW" w:eastAsia="zh-TW"/>
        </w:rPr>
        <w:t>指南</w:t>
      </w:r>
    </w:p>
    <w:p>
      <w:pPr>
        <w:adjustRightInd w:val="0"/>
        <w:snapToGrid w:val="0"/>
        <w:spacing w:line="590" w:lineRule="exact"/>
        <w:rPr>
          <w:rFonts w:eastAsia="仿宋"/>
          <w:color w:val="000000"/>
          <w:sz w:val="44"/>
          <w:szCs w:val="44"/>
          <w:u w:color="000000"/>
        </w:rPr>
      </w:pPr>
    </w:p>
    <w:p>
      <w:pPr>
        <w:adjustRightInd w:val="0"/>
        <w:snapToGrid w:val="0"/>
        <w:spacing w:line="590" w:lineRule="exact"/>
        <w:ind w:firstLine="420"/>
        <w:rPr>
          <w:rFonts w:eastAsia="黑体"/>
          <w:sz w:val="32"/>
          <w:szCs w:val="32"/>
        </w:rPr>
      </w:pPr>
      <w:r>
        <w:rPr>
          <w:rFonts w:eastAsia="黑体"/>
          <w:sz w:val="32"/>
          <w:szCs w:val="32"/>
        </w:rPr>
        <w:t>一、支持范围</w:t>
      </w:r>
    </w:p>
    <w:p>
      <w:pPr>
        <w:adjustRightInd w:val="0"/>
        <w:snapToGrid w:val="0"/>
        <w:spacing w:line="590" w:lineRule="exact"/>
        <w:ind w:firstLine="640" w:firstLineChars="200"/>
        <w:rPr>
          <w:rFonts w:eastAsia="楷体"/>
          <w:sz w:val="32"/>
          <w:szCs w:val="32"/>
        </w:rPr>
      </w:pPr>
      <w:r>
        <w:rPr>
          <w:rFonts w:eastAsia="楷体"/>
          <w:sz w:val="32"/>
          <w:szCs w:val="32"/>
        </w:rPr>
        <w:t>（一）人工智能示范应用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1.人工智能与政府管理深度融合应用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充分利用人脸识别、自然语言处理、机器人流程自动化等技术增强行政管理能力。重点支持对推动政府智能化转型，实现行政效能、服务水平、治理能力的全面提升具有显著示范带动作用的项目。支持人工智能与政府部门业务办理深度融合，提高行政效能；支持党政机关建设一批适用于政府服务与决策的人工智能平台，在问题研判、政策评估、风险预警、应急处置等重大战略决策方面推广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2.人工智能与工业深度融合应用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围绕广西工业智能化转型升级重大需求，构建智能制造产业生态、加快布局发展工业互联网平台，推动制造全生命周期活动智能化。重点支持推进智能制造关键技术装备、核心支撑软件、工业互联网等系统集成应用，智能产品研发、智能制造使能工具与系统、智能制造云服务平台，以及智能制造标准体系建立，对本地区、本行业工业企业具有显著示范带动作用的项目。</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3.人工智能与农业深度融合应用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深入应用人工智能新技术提高农业生产效率、农业经营水平、农业行政管理能力和为农服务质量。重点支持农业智能传感与控制系统、智能化农业装备、农机田间作业自主系统、农业大数据智能决策分析系统等开发应用，打造智能农场、智能化植物工厂、智能牧场、智能渔场、智能果园、农产品加工智能车间、农产品绿色智能供应链等典型示范作用的项目。</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4.人工智能与服务业深度融合应用</w:t>
      </w:r>
    </w:p>
    <w:p>
      <w:pPr>
        <w:pStyle w:val="3"/>
        <w:autoSpaceDE w:val="0"/>
        <w:adjustRightInd w:val="0"/>
        <w:snapToGrid w:val="0"/>
        <w:spacing w:line="590" w:lineRule="exact"/>
        <w:ind w:firstLine="640" w:firstLineChars="200"/>
        <w:rPr>
          <w:rFonts w:eastAsia="仿宋_GB2312"/>
          <w:sz w:val="32"/>
          <w:szCs w:val="32"/>
        </w:rPr>
      </w:pPr>
      <w:r>
        <w:rPr>
          <w:rFonts w:eastAsia="仿宋_GB2312"/>
          <w:color w:val="000000"/>
          <w:sz w:val="32"/>
          <w:szCs w:val="32"/>
        </w:rPr>
        <w:t>加快推动人工智能与生产性、生活性服务业深度融合，培育壮大人工智能技术在第三产业的新业态。重点支持在服务支撑、服务业智能设备、服务业移动应用等方面的智能应用，提升服务业自动化、便捷化、数字化、绿色</w:t>
      </w:r>
      <w:r>
        <w:rPr>
          <w:rFonts w:eastAsia="仿宋_GB2312"/>
          <w:sz w:val="32"/>
          <w:szCs w:val="32"/>
        </w:rPr>
        <w:t>化水平，对本地区、本行业企业具有显著示范带动作用的项目。</w:t>
      </w:r>
    </w:p>
    <w:p>
      <w:pPr>
        <w:adjustRightInd w:val="0"/>
        <w:snapToGrid w:val="0"/>
        <w:spacing w:line="590" w:lineRule="exact"/>
        <w:ind w:firstLine="640" w:firstLineChars="200"/>
        <w:rPr>
          <w:rFonts w:eastAsia="楷体"/>
          <w:sz w:val="32"/>
          <w:szCs w:val="32"/>
        </w:rPr>
      </w:pPr>
      <w:r>
        <w:rPr>
          <w:rFonts w:eastAsia="楷体"/>
          <w:sz w:val="32"/>
          <w:szCs w:val="32"/>
        </w:rPr>
        <w:t>（二）人工智能基础服务平台建设</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6.人才培养平台</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支持推进人工智能人才培养，支持高校、科研院所、企业、党政机关等机构开展人工智能学科建设或人才培训，培养</w:t>
      </w:r>
      <w:r>
        <w:rPr>
          <w:rFonts w:hint="eastAsia" w:eastAsia="仿宋_GB2312"/>
          <w:color w:val="000000"/>
          <w:sz w:val="32"/>
          <w:szCs w:val="32"/>
          <w:lang w:eastAsia="zh-CN"/>
        </w:rPr>
        <w:t>“</w:t>
      </w:r>
      <w:r>
        <w:rPr>
          <w:rFonts w:eastAsia="仿宋_GB2312"/>
          <w:color w:val="000000"/>
          <w:sz w:val="32"/>
          <w:szCs w:val="32"/>
        </w:rPr>
        <w:t>人工智能+</w:t>
      </w:r>
      <w:r>
        <w:rPr>
          <w:rFonts w:hint="eastAsia" w:eastAsia="仿宋_GB2312"/>
          <w:color w:val="000000"/>
          <w:sz w:val="32"/>
          <w:szCs w:val="32"/>
          <w:lang w:eastAsia="zh-CN"/>
        </w:rPr>
        <w:t>”</w:t>
      </w:r>
      <w:r>
        <w:rPr>
          <w:rFonts w:eastAsia="仿宋_GB2312"/>
          <w:color w:val="000000"/>
          <w:sz w:val="32"/>
          <w:szCs w:val="32"/>
        </w:rPr>
        <w:t>复合型专业人才。打造各类人工智能人才培养基地、人工智能优质学科、人工智能创新创业中心、人工智能研发中心、人工智能专业服务机构等示范引领项目，促进人工智能产业人才规模增长、补齐广西人才结构短板、为广西产业发展提供可持续发展的源动力。</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7.公共服务平台</w:t>
      </w:r>
    </w:p>
    <w:p>
      <w:pPr>
        <w:pStyle w:val="3"/>
        <w:autoSpaceDE w:val="0"/>
        <w:adjustRightInd w:val="0"/>
        <w:snapToGrid w:val="0"/>
        <w:spacing w:line="590" w:lineRule="exact"/>
        <w:ind w:firstLine="640" w:firstLineChars="200"/>
        <w:rPr>
          <w:rFonts w:eastAsia="仿宋_GB2312"/>
          <w:sz w:val="32"/>
          <w:szCs w:val="32"/>
        </w:rPr>
      </w:pPr>
      <w:r>
        <w:rPr>
          <w:rFonts w:eastAsia="仿宋_GB2312"/>
          <w:color w:val="000000"/>
          <w:sz w:val="32"/>
          <w:szCs w:val="32"/>
        </w:rPr>
        <w:t>支持建设人工智能重点产品或行业应用安全的评估测试平台，开展行业数据统计分析等服务。支持面向自动驾驶领域的数字仿真平台、工业检测平台、技术验证服务平台建设。支持面向无人机的技术应用创新、运营管理公共服务平台建设。支持区级人工智能创新中心发挥行业龙头作用，加快产业核心关键技术突</w:t>
      </w:r>
      <w:r>
        <w:rPr>
          <w:rFonts w:eastAsia="仿宋_GB2312"/>
          <w:sz w:val="32"/>
          <w:szCs w:val="32"/>
        </w:rPr>
        <w:t>破，促进面向行业的融合应用，以及制定相关行业标准、发布人工智能研究报告等。</w:t>
      </w:r>
    </w:p>
    <w:p>
      <w:pPr>
        <w:adjustRightInd w:val="0"/>
        <w:snapToGrid w:val="0"/>
        <w:spacing w:line="590" w:lineRule="exact"/>
        <w:ind w:firstLine="640" w:firstLineChars="200"/>
        <w:rPr>
          <w:rFonts w:eastAsia="方正楷体_GBK"/>
          <w:sz w:val="32"/>
          <w:szCs w:val="32"/>
        </w:rPr>
      </w:pPr>
      <w:r>
        <w:rPr>
          <w:rFonts w:eastAsia="楷体"/>
          <w:sz w:val="32"/>
          <w:szCs w:val="32"/>
        </w:rPr>
        <w:t>（三）人工智能技术创新</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8.智能机器人</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智能分拣、物流搬运、柔性操作、识别解析等行业服务机器人的研发和产业化，支持具备人机交互、多模式人体识别、语音语义及情感识别能力的智能服务机器人研发及产业化，支持无人机飞控、智能机器人动力系统核心零部件等技术研发。</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9.智能驾驶系统</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基于人工智能、5G通信、车联网和大数据等多技术融合的自动驾驶、自主泊车、车路协同等关键技术创新，以及智能座舱等车用终端产品的研发及产业化。支持具有自动感知、智能避障及自主行驶无人机、无人船等无人系统的研发及产业化。</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10.智慧物流</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基于条形码、射频识别技术、传感器、全球定位系统等先进的物联网技术，通过信息处理和网络通信技术平台，广泛应用于物流业运输、仓储、配送、包装、装卸等基本活动环节，实现货物运输过程的自动化运作和高效率优化管理，提高物流行业的服务水平。</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11.VR/AR应用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支持人工智能与虚拟现实、增强现实相结合的智能眼镜、智能穿戴数字技术创新，建立用户与虚拟场景的互动交互。支持具备VR/AR、人机交互、多模式人体识别、图像分析等技术的元宇宙应用开发。</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12.智能特色领域技术创新</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支持贸易、农业、冶金、医疗、海关等场景，探索开展人工智能技术创新，图像识别、机器翻译、医疗影像智能检测、边境安防等人工智能技术研发和应用。</w:t>
      </w:r>
    </w:p>
    <w:p>
      <w:pPr>
        <w:pStyle w:val="6"/>
        <w:numPr>
          <w:ilvl w:val="255"/>
          <w:numId w:val="0"/>
        </w:numPr>
        <w:adjustRightInd w:val="0"/>
        <w:snapToGrid w:val="0"/>
        <w:spacing w:line="590" w:lineRule="exact"/>
        <w:ind w:left="640"/>
        <w:rPr>
          <w:rFonts w:eastAsia="黑体"/>
          <w:sz w:val="32"/>
          <w:szCs w:val="32"/>
        </w:rPr>
      </w:pPr>
      <w:r>
        <w:rPr>
          <w:rFonts w:eastAsia="黑体"/>
          <w:sz w:val="32"/>
          <w:szCs w:val="32"/>
        </w:rPr>
        <w:t>二、申报要求</w:t>
      </w:r>
    </w:p>
    <w:p>
      <w:pPr>
        <w:pStyle w:val="3"/>
        <w:adjustRightInd w:val="0"/>
        <w:snapToGrid w:val="0"/>
        <w:spacing w:line="590" w:lineRule="exact"/>
        <w:ind w:firstLine="640" w:firstLineChars="200"/>
        <w:rPr>
          <w:sz w:val="32"/>
          <w:szCs w:val="32"/>
        </w:rPr>
      </w:pPr>
      <w:r>
        <w:rPr>
          <w:rFonts w:eastAsia="楷体"/>
          <w:sz w:val="32"/>
          <w:szCs w:val="32"/>
        </w:rPr>
        <w:t>（一）人工智能现金补贴</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1.人工智能示范应用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主要面向广西区内有人工智能项目建设需求的企事业单位、高等院校、科研单位、社会团体等机构，支持其建设能对行业或领域有较好示范意义的、能产生较好的经济和社会效益的、具备较好推广前景的项目，优先支持数字广西建设标杆引领重点示范项目（企业、平台）。原则上现金补贴金额不超过项目总投入（人工智能相关硬件设备，端侧推理服务器，软件接口集成，人力开发等）金额的30%。同一家单位每年只能申报1个项目，同一项目只能由一个单位提出申请。</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2.人工智能基础服务平台建设</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主要面向广西区内开展人工智能及大数据人才培养或服务咨询的院校、科研单位、培训机构等，支持其建设具备相关专业服务资质的服务平台，加强人才培养、科研交流、大赛举办、职业资格认证等方面。同一家单位每年只能申报3个项目，同一项目只能由一个单位提出申请。</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3.人工智能技术创新</w:t>
      </w:r>
    </w:p>
    <w:p>
      <w:pPr>
        <w:pStyle w:val="3"/>
        <w:autoSpaceDE w:val="0"/>
        <w:adjustRightInd w:val="0"/>
        <w:snapToGrid w:val="0"/>
        <w:spacing w:line="590" w:lineRule="exact"/>
        <w:ind w:firstLine="640" w:firstLineChars="200"/>
        <w:rPr>
          <w:rFonts w:eastAsia="方正仿宋_GBK"/>
          <w:sz w:val="32"/>
          <w:szCs w:val="32"/>
        </w:rPr>
      </w:pPr>
      <w:r>
        <w:rPr>
          <w:rFonts w:eastAsia="仿宋_GB2312"/>
          <w:color w:val="000000"/>
          <w:sz w:val="32"/>
          <w:szCs w:val="32"/>
        </w:rPr>
        <w:t>主要面向广西区内开展科技创新、科研成果转化或产业化投资的企事业单位、科研机构等，要求技术储备充足、投资计划完备、产权归属清晰，并且可产生一定自主创新性成果，可有效提升相关领域技术水平或完善产业链条。同一家单位每年只能申报1个项目，同一项目只能由一个单位</w:t>
      </w:r>
      <w:r>
        <w:rPr>
          <w:rFonts w:eastAsia="仿宋_GB2312"/>
          <w:sz w:val="32"/>
          <w:szCs w:val="32"/>
        </w:rPr>
        <w:t>提出申请。</w:t>
      </w:r>
    </w:p>
    <w:p>
      <w:pPr>
        <w:pStyle w:val="6"/>
        <w:adjustRightInd w:val="0"/>
        <w:snapToGrid w:val="0"/>
        <w:spacing w:line="590" w:lineRule="exact"/>
        <w:ind w:firstLine="640"/>
        <w:rPr>
          <w:rFonts w:eastAsia="方正楷体_GBK"/>
          <w:sz w:val="32"/>
          <w:szCs w:val="32"/>
        </w:rPr>
      </w:pPr>
      <w:r>
        <w:rPr>
          <w:rFonts w:eastAsia="楷体"/>
          <w:sz w:val="32"/>
          <w:szCs w:val="32"/>
        </w:rPr>
        <w:t>（二）人工智能云资源补贴</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1.人工智能示范应用</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主要面向广西区内有人工智能项目建设需求的各级党政机关、企事业单位、高等院校、科研单位、社会团体等机构，要求人工智能项目处于在建状态，并且不超出补贴支持范围。具体根据项目建设运行的需要，按资源补贴清单（详见附件2-1）提出。同一家单位每年只能申报1个项目，同一项目只能由一个单位提出申请。</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2.人工智能基础服务平台建设</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主要面向广西区内开展人工智能及大数据人才培养或服务咨询的院校、科研机构、培训机构等，要求报单位具备相关专业服务资质，在2022年有较明确的人工智能相关方向人才培养计划或服务配套。具体根据开展相关课程建设或服务咨询的需求，按资源补贴清单（详见附件2-1）提出。同一家单位每年只能申报3个项目，同一项目只能由一个单位提出申请。</w:t>
      </w:r>
    </w:p>
    <w:p>
      <w:pPr>
        <w:pStyle w:val="3"/>
        <w:autoSpaceDE w:val="0"/>
        <w:adjustRightInd w:val="0"/>
        <w:snapToGrid w:val="0"/>
        <w:spacing w:line="590" w:lineRule="exact"/>
        <w:ind w:firstLine="640" w:firstLineChars="200"/>
        <w:rPr>
          <w:rFonts w:eastAsia="仿宋_GB2312"/>
          <w:color w:val="000000"/>
          <w:sz w:val="32"/>
          <w:szCs w:val="32"/>
        </w:rPr>
      </w:pPr>
      <w:r>
        <w:rPr>
          <w:rFonts w:eastAsia="仿宋_GB2312"/>
          <w:color w:val="000000"/>
          <w:sz w:val="32"/>
          <w:szCs w:val="32"/>
        </w:rPr>
        <w:t>3.人工智能技术创新</w:t>
      </w:r>
    </w:p>
    <w:p>
      <w:pPr>
        <w:pStyle w:val="3"/>
        <w:autoSpaceDE w:val="0"/>
        <w:adjustRightInd w:val="0"/>
        <w:snapToGrid w:val="0"/>
        <w:spacing w:line="590" w:lineRule="exact"/>
        <w:ind w:firstLine="640" w:firstLineChars="200"/>
        <w:rPr>
          <w:rFonts w:eastAsia="方正仿宋_GBK"/>
          <w:snapToGrid w:val="0"/>
          <w:sz w:val="32"/>
          <w:szCs w:val="32"/>
          <w:u w:color="000000"/>
        </w:rPr>
      </w:pPr>
      <w:r>
        <w:rPr>
          <w:rFonts w:eastAsia="仿宋_GB2312"/>
          <w:color w:val="000000"/>
          <w:sz w:val="32"/>
          <w:szCs w:val="32"/>
        </w:rPr>
        <w:t>主要面向广西区内开展科技创新、科研成果转化或产业化投资的科研机构、企事业单位、高等院校、科研单位、社会团体等机构等，要求申报单位具备技术、产权等基础条件，在2022年有较明确的投入产出计划。根据开展相关项目所需云服务资源，按资源补贴清单（详见附件2-1）提出。同一家单位每年只能申报1个项目，同一项目只能由一个单位提出</w:t>
      </w:r>
      <w:r>
        <w:rPr>
          <w:rFonts w:eastAsia="仿宋_GB2312"/>
          <w:sz w:val="32"/>
          <w:szCs w:val="32"/>
        </w:rPr>
        <w:t>申请。</w:t>
      </w:r>
    </w:p>
    <w:p>
      <w:pPr>
        <w:spacing w:line="600" w:lineRule="exact"/>
        <w:ind w:firstLine="640" w:firstLineChars="200"/>
        <w:rPr>
          <w:rFonts w:eastAsia="方正仿宋_GBK"/>
          <w:sz w:val="32"/>
          <w:szCs w:val="32"/>
        </w:rPr>
      </w:pPr>
      <w:r>
        <w:rPr>
          <w:rFonts w:eastAsia="方正黑体_GBK"/>
          <w:sz w:val="32"/>
          <w:szCs w:val="32"/>
        </w:rPr>
        <w:br w:type="page"/>
      </w:r>
    </w:p>
    <w:p>
      <w:pPr>
        <w:spacing w:line="600" w:lineRule="exact"/>
        <w:rPr>
          <w:rFonts w:eastAsia="黑体"/>
          <w:sz w:val="32"/>
          <w:szCs w:val="32"/>
        </w:rPr>
      </w:pPr>
      <w:r>
        <w:rPr>
          <w:rFonts w:eastAsia="黑体"/>
          <w:sz w:val="32"/>
          <w:szCs w:val="32"/>
        </w:rPr>
        <w:t>附件2-1</w:t>
      </w:r>
    </w:p>
    <w:p>
      <w:pPr>
        <w:spacing w:line="600" w:lineRule="exact"/>
        <w:rPr>
          <w:rFonts w:eastAsia="方正黑体_GBK"/>
          <w:sz w:val="32"/>
          <w:szCs w:val="32"/>
        </w:rPr>
      </w:pPr>
    </w:p>
    <w:p>
      <w:pPr>
        <w:adjustRightInd w:val="0"/>
        <w:spacing w:before="120" w:beforeLines="50" w:after="120" w:afterLines="50" w:line="580" w:lineRule="exact"/>
        <w:jc w:val="center"/>
        <w:rPr>
          <w:rFonts w:eastAsia="方正小标宋简体"/>
          <w:bCs/>
          <w:sz w:val="44"/>
          <w:szCs w:val="44"/>
        </w:rPr>
      </w:pPr>
      <w:r>
        <w:rPr>
          <w:rFonts w:hint="eastAsia" w:eastAsia="方正小标宋简体"/>
          <w:bCs/>
          <w:sz w:val="44"/>
          <w:szCs w:val="44"/>
          <w:lang w:eastAsia="zh-CN"/>
        </w:rPr>
        <w:t>中国—东盟</w:t>
      </w:r>
      <w:r>
        <w:rPr>
          <w:rFonts w:eastAsia="方正小标宋简体"/>
          <w:bCs/>
          <w:sz w:val="44"/>
          <w:szCs w:val="44"/>
        </w:rPr>
        <w:t>（华为）人工智能创新中心</w:t>
      </w:r>
    </w:p>
    <w:p>
      <w:pPr>
        <w:adjustRightInd w:val="0"/>
        <w:spacing w:before="120" w:beforeLines="50" w:after="120" w:afterLines="50" w:line="580" w:lineRule="exact"/>
        <w:jc w:val="center"/>
        <w:rPr>
          <w:rFonts w:eastAsia="方正小标宋_GBK"/>
          <w:bCs/>
          <w:sz w:val="44"/>
          <w:szCs w:val="44"/>
        </w:rPr>
      </w:pPr>
      <w:r>
        <w:rPr>
          <w:rFonts w:eastAsia="方正小标宋简体"/>
          <w:bCs/>
          <w:sz w:val="44"/>
          <w:szCs w:val="44"/>
        </w:rPr>
        <w:t>2022年专项补贴云资源清单</w:t>
      </w:r>
    </w:p>
    <w:p>
      <w:pPr>
        <w:snapToGrid w:val="0"/>
        <w:spacing w:line="590" w:lineRule="exact"/>
        <w:jc w:val="center"/>
        <w:rPr>
          <w:rFonts w:eastAsia="仿宋"/>
          <w:b/>
          <w:kern w:val="0"/>
          <w:sz w:val="32"/>
          <w:szCs w:val="32"/>
        </w:rPr>
      </w:pPr>
    </w:p>
    <w:tbl>
      <w:tblPr>
        <w:tblStyle w:val="4"/>
        <w:tblW w:w="9407" w:type="dxa"/>
        <w:tblInd w:w="113" w:type="dxa"/>
        <w:tblLayout w:type="fixed"/>
        <w:tblCellMar>
          <w:top w:w="0" w:type="dxa"/>
          <w:left w:w="108" w:type="dxa"/>
          <w:bottom w:w="0" w:type="dxa"/>
          <w:right w:w="108" w:type="dxa"/>
        </w:tblCellMar>
      </w:tblPr>
      <w:tblGrid>
        <w:gridCol w:w="765"/>
        <w:gridCol w:w="643"/>
        <w:gridCol w:w="709"/>
        <w:gridCol w:w="3827"/>
        <w:gridCol w:w="992"/>
        <w:gridCol w:w="1231"/>
        <w:gridCol w:w="1240"/>
      </w:tblGrid>
      <w:tr>
        <w:tblPrEx>
          <w:tblCellMar>
            <w:top w:w="0" w:type="dxa"/>
            <w:left w:w="108" w:type="dxa"/>
            <w:bottom w:w="0" w:type="dxa"/>
            <w:right w:w="108" w:type="dxa"/>
          </w:tblCellMar>
        </w:tblPrEx>
        <w:trPr>
          <w:trHeight w:val="648" w:hRule="atLeast"/>
        </w:trPr>
        <w:tc>
          <w:tcPr>
            <w:tcW w:w="94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黑体"/>
                <w:b/>
                <w:bCs/>
                <w:sz w:val="28"/>
                <w:szCs w:val="28"/>
              </w:rPr>
            </w:pPr>
            <w:r>
              <w:rPr>
                <w:rFonts w:eastAsia="黑体"/>
                <w:b/>
                <w:sz w:val="28"/>
                <w:szCs w:val="28"/>
              </w:rPr>
              <w:t>一、华为AI使能服务</w:t>
            </w:r>
          </w:p>
        </w:tc>
      </w:tr>
      <w:tr>
        <w:tblPrEx>
          <w:tblCellMar>
            <w:top w:w="0" w:type="dxa"/>
            <w:left w:w="108" w:type="dxa"/>
            <w:bottom w:w="0" w:type="dxa"/>
            <w:right w:w="108" w:type="dxa"/>
          </w:tblCellMar>
        </w:tblPrEx>
        <w:trPr>
          <w:trHeight w:val="280"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分类</w:t>
            </w:r>
          </w:p>
        </w:tc>
        <w:tc>
          <w:tcPr>
            <w:tcW w:w="6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服务名称</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服务内容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单位</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价格</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b/>
                <w:bCs/>
                <w:sz w:val="18"/>
                <w:szCs w:val="18"/>
              </w:rPr>
            </w:pPr>
            <w:r>
              <w:rPr>
                <w:rFonts w:eastAsia="仿宋"/>
                <w:b/>
                <w:bCs/>
                <w:sz w:val="18"/>
                <w:szCs w:val="18"/>
              </w:rPr>
              <w:t>总价</w:t>
            </w:r>
          </w:p>
        </w:tc>
      </w:tr>
      <w:tr>
        <w:tblPrEx>
          <w:tblCellMar>
            <w:top w:w="0" w:type="dxa"/>
            <w:left w:w="108" w:type="dxa"/>
            <w:bottom w:w="0" w:type="dxa"/>
            <w:right w:w="108" w:type="dxa"/>
          </w:tblCellMar>
        </w:tblPrEx>
        <w:trPr>
          <w:trHeight w:val="1000" w:hRule="atLeast"/>
        </w:trPr>
        <w:tc>
          <w:tcPr>
            <w:tcW w:w="765" w:type="dxa"/>
            <w:vMerge w:val="restart"/>
            <w:tcBorders>
              <w:top w:val="nil"/>
              <w:left w:val="single" w:color="auto" w:sz="4" w:space="0"/>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华为AI使能服务</w:t>
            </w:r>
          </w:p>
        </w:tc>
        <w:tc>
          <w:tcPr>
            <w:tcW w:w="643" w:type="dxa"/>
            <w:vMerge w:val="restart"/>
            <w:tcBorders>
              <w:top w:val="nil"/>
              <w:left w:val="nil"/>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1</w:t>
            </w:r>
          </w:p>
        </w:tc>
        <w:tc>
          <w:tcPr>
            <w:tcW w:w="709" w:type="dxa"/>
            <w:vMerge w:val="restart"/>
            <w:tcBorders>
              <w:top w:val="nil"/>
              <w:left w:val="nil"/>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AI使能基础套餐</w:t>
            </w: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套餐包自启用后一年内有效。</w:t>
            </w:r>
            <w:r>
              <w:rPr>
                <w:rFonts w:eastAsia="仿宋"/>
                <w:sz w:val="18"/>
                <w:szCs w:val="18"/>
              </w:rPr>
              <w:br w:type="textWrapping"/>
            </w:r>
            <w:r>
              <w:rPr>
                <w:rFonts w:eastAsia="仿宋"/>
                <w:sz w:val="18"/>
                <w:szCs w:val="18"/>
              </w:rPr>
              <w:t>1.包AI云服务资源，以下内容任选：</w:t>
            </w:r>
            <w:r>
              <w:rPr>
                <w:rFonts w:eastAsia="仿宋"/>
                <w:sz w:val="18"/>
                <w:szCs w:val="18"/>
              </w:rPr>
              <w:br w:type="textWrapping"/>
            </w:r>
            <w:r>
              <w:rPr>
                <w:rFonts w:eastAsia="仿宋"/>
                <w:sz w:val="18"/>
                <w:szCs w:val="18"/>
              </w:rPr>
              <w:t>1) 人工智能应用API(含图像内容检测、实时语音识别、人脸搜索/对比/检测、通用文字识别、图片搜索查询等20+API)</w:t>
            </w:r>
            <w:r>
              <w:rPr>
                <w:rFonts w:eastAsia="仿宋"/>
                <w:sz w:val="18"/>
                <w:szCs w:val="18"/>
              </w:rPr>
              <w:br w:type="textWrapping"/>
            </w:r>
            <w:r>
              <w:rPr>
                <w:rFonts w:eastAsia="仿宋"/>
                <w:sz w:val="18"/>
                <w:szCs w:val="18"/>
              </w:rPr>
              <w:t>2) AI开发平台ModelArts，提供模型学习训练的技术平台及资源服务</w:t>
            </w:r>
            <w:r>
              <w:rPr>
                <w:rFonts w:eastAsia="仿宋"/>
                <w:sz w:val="18"/>
                <w:szCs w:val="18"/>
              </w:rPr>
              <w:br w:type="textWrapping"/>
            </w:r>
            <w:r>
              <w:rPr>
                <w:rFonts w:eastAsia="仿宋"/>
                <w:sz w:val="18"/>
                <w:szCs w:val="18"/>
              </w:rPr>
              <w:t>3)AI大数据服务，提供数据接入、云数据迁移、数据湖工厂、数据仓库、数据湖探索等服务</w:t>
            </w:r>
            <w:r>
              <w:rPr>
                <w:rFonts w:eastAsia="仿宋"/>
                <w:sz w:val="18"/>
                <w:szCs w:val="18"/>
              </w:rPr>
              <w:br w:type="textWrapping"/>
            </w:r>
            <w:r>
              <w:rPr>
                <w:rFonts w:eastAsia="仿宋"/>
                <w:sz w:val="18"/>
                <w:szCs w:val="18"/>
              </w:rPr>
              <w:t>2.咨询服务：</w:t>
            </w:r>
          </w:p>
          <w:p>
            <w:pPr>
              <w:widowControl/>
              <w:rPr>
                <w:rFonts w:eastAsia="仿宋"/>
                <w:sz w:val="18"/>
                <w:szCs w:val="18"/>
              </w:rPr>
            </w:pPr>
            <w:r>
              <w:rPr>
                <w:rFonts w:eastAsia="仿宋"/>
                <w:sz w:val="18"/>
                <w:szCs w:val="18"/>
              </w:rPr>
              <w:t>1）帮助企业梳理自身业务与人工智能、大数据等服务的结合点，配置并开通合适的云服务</w:t>
            </w:r>
            <w:r>
              <w:rPr>
                <w:rFonts w:eastAsia="仿宋"/>
                <w:sz w:val="18"/>
                <w:szCs w:val="18"/>
              </w:rPr>
              <w:br w:type="textWrapping"/>
            </w:r>
            <w:r>
              <w:rPr>
                <w:rFonts w:eastAsia="仿宋"/>
                <w:sz w:val="18"/>
                <w:szCs w:val="18"/>
              </w:rPr>
              <w:t>2）提供5*8小时运营团队远程指导服务</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¥75,000.00</w:t>
            </w:r>
          </w:p>
        </w:tc>
        <w:tc>
          <w:tcPr>
            <w:tcW w:w="1240" w:type="dxa"/>
            <w:vMerge w:val="restart"/>
            <w:tcBorders>
              <w:top w:val="nil"/>
              <w:left w:val="nil"/>
              <w:bottom w:val="nil"/>
              <w:right w:val="single" w:color="auto" w:sz="4" w:space="0"/>
            </w:tcBorders>
            <w:shd w:val="clear" w:color="auto" w:fill="auto"/>
            <w:noWrap/>
            <w:vAlign w:val="center"/>
          </w:tcPr>
          <w:p>
            <w:pPr>
              <w:widowControl/>
              <w:jc w:val="center"/>
              <w:rPr>
                <w:rFonts w:eastAsia="仿宋"/>
                <w:sz w:val="18"/>
                <w:szCs w:val="18"/>
              </w:rPr>
            </w:pPr>
            <w:r>
              <w:rPr>
                <w:rFonts w:eastAsia="仿宋"/>
                <w:sz w:val="18"/>
                <w:szCs w:val="18"/>
              </w:rPr>
              <w:t>¥100,000.00</w:t>
            </w: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nil"/>
              <w:right w:val="single" w:color="auto" w:sz="4" w:space="0"/>
            </w:tcBorders>
            <w:shd w:val="clear" w:color="auto" w:fill="auto"/>
            <w:vAlign w:val="center"/>
          </w:tcPr>
          <w:p>
            <w:pPr>
              <w:rPr>
                <w:sz w:val="20"/>
                <w:szCs w:val="20"/>
              </w:rPr>
            </w:pPr>
          </w:p>
        </w:tc>
        <w:tc>
          <w:tcPr>
            <w:tcW w:w="709" w:type="dxa"/>
            <w:vMerge w:val="continue"/>
            <w:tcBorders>
              <w:top w:val="nil"/>
              <w:left w:val="nil"/>
              <w:bottom w:val="nil"/>
              <w:right w:val="single" w:color="auto" w:sz="4" w:space="0"/>
            </w:tcBorders>
            <w:shd w:val="clear" w:color="auto" w:fill="auto"/>
            <w:vAlign w:val="center"/>
          </w:tcPr>
          <w:p>
            <w:pPr>
              <w:rPr>
                <w:sz w:val="20"/>
                <w:szCs w:val="20"/>
              </w:rPr>
            </w:pP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推荐配置：</w:t>
            </w:r>
            <w:r>
              <w:rPr>
                <w:rFonts w:eastAsia="仿宋"/>
                <w:sz w:val="18"/>
                <w:szCs w:val="18"/>
              </w:rPr>
              <w:br w:type="textWrapping"/>
            </w:r>
            <w:r>
              <w:rPr>
                <w:rFonts w:eastAsia="仿宋"/>
                <w:sz w:val="18"/>
                <w:szCs w:val="18"/>
              </w:rPr>
              <w:t>虚机（4U8G  40G+500G硬盘）4台</w:t>
            </w:r>
          </w:p>
          <w:p>
            <w:pPr>
              <w:widowControl/>
              <w:rPr>
                <w:rFonts w:eastAsia="仿宋"/>
                <w:sz w:val="18"/>
                <w:szCs w:val="18"/>
              </w:rPr>
            </w:pPr>
            <w:r>
              <w:rPr>
                <w:rFonts w:eastAsia="仿宋"/>
                <w:sz w:val="18"/>
                <w:szCs w:val="18"/>
              </w:rPr>
              <w:t>EIP  2个</w:t>
            </w:r>
          </w:p>
          <w:p>
            <w:pPr>
              <w:widowControl/>
              <w:rPr>
                <w:rFonts w:eastAsia="仿宋"/>
                <w:sz w:val="18"/>
                <w:szCs w:val="18"/>
              </w:rPr>
            </w:pPr>
            <w:r>
              <w:rPr>
                <w:rFonts w:eastAsia="仿宋"/>
                <w:sz w:val="18"/>
                <w:szCs w:val="18"/>
              </w:rPr>
              <w:t>带宽（5M） 2个</w:t>
            </w:r>
          </w:p>
          <w:p>
            <w:pPr>
              <w:widowControl/>
              <w:rPr>
                <w:rFonts w:eastAsia="仿宋"/>
                <w:sz w:val="18"/>
                <w:szCs w:val="18"/>
              </w:rPr>
            </w:pPr>
            <w:r>
              <w:rPr>
                <w:rFonts w:eastAsia="仿宋"/>
                <w:sz w:val="18"/>
                <w:szCs w:val="18"/>
              </w:rPr>
              <w:t>RDS_MySQL（2U4G 300G存储） 1个</w:t>
            </w:r>
          </w:p>
          <w:p>
            <w:pPr>
              <w:widowControl/>
              <w:rPr>
                <w:rFonts w:eastAsia="仿宋"/>
                <w:sz w:val="18"/>
                <w:szCs w:val="18"/>
              </w:rPr>
            </w:pPr>
            <w:r>
              <w:rPr>
                <w:rFonts w:eastAsia="仿宋"/>
                <w:sz w:val="18"/>
                <w:szCs w:val="18"/>
              </w:rPr>
              <w:t>OBS(500G存储)  1个</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¥25,000.00</w:t>
            </w:r>
          </w:p>
        </w:tc>
        <w:tc>
          <w:tcPr>
            <w:tcW w:w="1240" w:type="dxa"/>
            <w:vMerge w:val="continue"/>
            <w:tcBorders>
              <w:top w:val="nil"/>
              <w:left w:val="nil"/>
              <w:bottom w:val="nil"/>
              <w:right w:val="single" w:color="auto" w:sz="4" w:space="0"/>
            </w:tcBorders>
            <w:shd w:val="clear" w:color="auto" w:fill="auto"/>
            <w:noWrap/>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w:t>
            </w:r>
          </w:p>
        </w:tc>
        <w:tc>
          <w:tcPr>
            <w:tcW w:w="709"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AI使能初级套餐</w:t>
            </w: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套餐包自启用后一年内有效。</w:t>
            </w:r>
            <w:r>
              <w:rPr>
                <w:rFonts w:eastAsia="仿宋"/>
                <w:sz w:val="18"/>
                <w:szCs w:val="18"/>
              </w:rPr>
              <w:br w:type="textWrapping"/>
            </w:r>
            <w:r>
              <w:rPr>
                <w:rFonts w:eastAsia="仿宋"/>
                <w:sz w:val="18"/>
                <w:szCs w:val="18"/>
              </w:rPr>
              <w:t>1.包含AI云服务资源，以下内容任选：</w:t>
            </w:r>
            <w:r>
              <w:rPr>
                <w:rFonts w:eastAsia="仿宋"/>
                <w:sz w:val="18"/>
                <w:szCs w:val="18"/>
              </w:rPr>
              <w:br w:type="textWrapping"/>
            </w:r>
            <w:r>
              <w:rPr>
                <w:rFonts w:eastAsia="仿宋"/>
                <w:sz w:val="18"/>
                <w:szCs w:val="18"/>
              </w:rPr>
              <w:t>1) 人工智能应用API(含图像内容检测、实时语音识别、人脸搜索/对比/检测、通用文字识别、图片搜索查询等20+API)</w:t>
            </w:r>
            <w:r>
              <w:rPr>
                <w:rFonts w:eastAsia="仿宋"/>
                <w:sz w:val="18"/>
                <w:szCs w:val="18"/>
              </w:rPr>
              <w:br w:type="textWrapping"/>
            </w:r>
            <w:r>
              <w:rPr>
                <w:rFonts w:eastAsia="仿宋"/>
                <w:sz w:val="18"/>
                <w:szCs w:val="18"/>
              </w:rPr>
              <w:t>2) AI开发平台ModelArts，提供模型学习训练的技术平台及资源服务</w:t>
            </w:r>
            <w:r>
              <w:rPr>
                <w:rFonts w:eastAsia="仿宋"/>
                <w:sz w:val="18"/>
                <w:szCs w:val="18"/>
              </w:rPr>
              <w:br w:type="textWrapping"/>
            </w:r>
            <w:r>
              <w:rPr>
                <w:rFonts w:eastAsia="仿宋"/>
                <w:sz w:val="18"/>
                <w:szCs w:val="18"/>
              </w:rPr>
              <w:t>3)AI大数据服务，提供数据接入、云数据迁移、数据湖工厂、数据仓库、数据湖探索等服务</w:t>
            </w:r>
            <w:r>
              <w:rPr>
                <w:rFonts w:eastAsia="仿宋"/>
                <w:sz w:val="18"/>
                <w:szCs w:val="18"/>
              </w:rPr>
              <w:br w:type="textWrapping"/>
            </w:r>
            <w:r>
              <w:rPr>
                <w:rFonts w:eastAsia="仿宋"/>
                <w:sz w:val="18"/>
                <w:szCs w:val="18"/>
              </w:rPr>
              <w:t>2.咨询服务：</w:t>
            </w:r>
          </w:p>
          <w:p>
            <w:pPr>
              <w:widowControl/>
              <w:rPr>
                <w:rFonts w:eastAsia="仿宋"/>
                <w:sz w:val="18"/>
                <w:szCs w:val="18"/>
              </w:rPr>
            </w:pPr>
            <w:r>
              <w:rPr>
                <w:rFonts w:eastAsia="仿宋"/>
                <w:sz w:val="18"/>
                <w:szCs w:val="18"/>
              </w:rPr>
              <w:t>1）帮助企业梳理自身业务与人工智能、大数据等服务的结合点，配置并开通合适的云服务</w:t>
            </w:r>
            <w:r>
              <w:rPr>
                <w:rFonts w:eastAsia="仿宋"/>
                <w:sz w:val="18"/>
                <w:szCs w:val="18"/>
              </w:rPr>
              <w:br w:type="textWrapping"/>
            </w:r>
            <w:r>
              <w:rPr>
                <w:rFonts w:eastAsia="仿宋"/>
                <w:sz w:val="18"/>
                <w:szCs w:val="18"/>
              </w:rPr>
              <w:t>2）提供5*8小时运营团队远程指导服务</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 xml:space="preserve">¥150,000.00 </w:t>
            </w:r>
          </w:p>
        </w:tc>
        <w:tc>
          <w:tcPr>
            <w:tcW w:w="1240" w:type="dxa"/>
            <w:vMerge w:val="restart"/>
            <w:tcBorders>
              <w:top w:val="nil"/>
              <w:left w:val="nil"/>
              <w:bottom w:val="single" w:color="auto" w:sz="4" w:space="0"/>
              <w:right w:val="single" w:color="auto" w:sz="4" w:space="0"/>
            </w:tcBorders>
            <w:shd w:val="clear" w:color="auto" w:fill="auto"/>
            <w:noWrap/>
            <w:vAlign w:val="center"/>
          </w:tcPr>
          <w:p>
            <w:pPr>
              <w:widowControl/>
              <w:jc w:val="center"/>
              <w:rPr>
                <w:rFonts w:eastAsia="仿宋"/>
                <w:sz w:val="18"/>
                <w:szCs w:val="18"/>
              </w:rPr>
            </w:pPr>
            <w:r>
              <w:rPr>
                <w:rFonts w:eastAsia="仿宋"/>
                <w:sz w:val="18"/>
                <w:szCs w:val="18"/>
              </w:rPr>
              <w:t>¥200,000.00</w:t>
            </w: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推荐配置：</w:t>
            </w:r>
            <w:r>
              <w:rPr>
                <w:rFonts w:eastAsia="仿宋"/>
                <w:sz w:val="18"/>
                <w:szCs w:val="18"/>
              </w:rPr>
              <w:br w:type="textWrapping"/>
            </w:r>
            <w:r>
              <w:rPr>
                <w:rFonts w:eastAsia="仿宋"/>
                <w:sz w:val="18"/>
                <w:szCs w:val="18"/>
              </w:rPr>
              <w:t>虚机（8U16G  40G+500G硬盘）4台</w:t>
            </w:r>
          </w:p>
          <w:p>
            <w:pPr>
              <w:widowControl/>
              <w:rPr>
                <w:rFonts w:eastAsia="仿宋"/>
                <w:sz w:val="18"/>
                <w:szCs w:val="18"/>
              </w:rPr>
            </w:pPr>
            <w:r>
              <w:rPr>
                <w:rFonts w:eastAsia="仿宋"/>
                <w:sz w:val="18"/>
                <w:szCs w:val="18"/>
              </w:rPr>
              <w:t>EIP  2个</w:t>
            </w:r>
          </w:p>
          <w:p>
            <w:pPr>
              <w:widowControl/>
              <w:rPr>
                <w:rFonts w:eastAsia="仿宋"/>
                <w:sz w:val="18"/>
                <w:szCs w:val="18"/>
              </w:rPr>
            </w:pPr>
            <w:r>
              <w:rPr>
                <w:rFonts w:eastAsia="仿宋"/>
                <w:sz w:val="18"/>
                <w:szCs w:val="18"/>
              </w:rPr>
              <w:t>带宽（5M） 2个</w:t>
            </w:r>
          </w:p>
          <w:p>
            <w:pPr>
              <w:widowControl/>
              <w:rPr>
                <w:rFonts w:eastAsia="仿宋"/>
                <w:sz w:val="18"/>
                <w:szCs w:val="18"/>
              </w:rPr>
            </w:pPr>
            <w:r>
              <w:rPr>
                <w:rFonts w:eastAsia="仿宋"/>
                <w:sz w:val="18"/>
                <w:szCs w:val="18"/>
              </w:rPr>
              <w:t>RDS_MySQL（4U16G 500G存储） 1个</w:t>
            </w:r>
          </w:p>
          <w:p>
            <w:pPr>
              <w:widowControl/>
              <w:rPr>
                <w:rFonts w:eastAsia="仿宋"/>
                <w:sz w:val="18"/>
                <w:szCs w:val="18"/>
              </w:rPr>
            </w:pPr>
            <w:r>
              <w:rPr>
                <w:rFonts w:eastAsia="仿宋"/>
                <w:sz w:val="18"/>
                <w:szCs w:val="18"/>
              </w:rPr>
              <w:t>OBS(500G存储)  1个</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¥50,000.00 </w:t>
            </w:r>
          </w:p>
        </w:tc>
        <w:tc>
          <w:tcPr>
            <w:tcW w:w="1240" w:type="dxa"/>
            <w:vMerge w:val="continue"/>
            <w:tcBorders>
              <w:top w:val="nil"/>
              <w:left w:val="nil"/>
              <w:bottom w:val="single" w:color="auto" w:sz="4" w:space="0"/>
              <w:right w:val="single" w:color="auto" w:sz="4" w:space="0"/>
            </w:tcBorders>
            <w:shd w:val="clear" w:color="auto" w:fill="auto"/>
            <w:noWrap/>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3</w:t>
            </w:r>
          </w:p>
        </w:tc>
        <w:tc>
          <w:tcPr>
            <w:tcW w:w="709" w:type="dxa"/>
            <w:vMerge w:val="restart"/>
            <w:tcBorders>
              <w:top w:val="nil"/>
              <w:left w:val="nil"/>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AI使能中级套餐</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套餐包自启用后一年内有效。</w:t>
            </w:r>
            <w:r>
              <w:rPr>
                <w:rFonts w:eastAsia="仿宋"/>
                <w:sz w:val="18"/>
                <w:szCs w:val="18"/>
              </w:rPr>
              <w:br w:type="textWrapping"/>
            </w:r>
            <w:r>
              <w:rPr>
                <w:rFonts w:eastAsia="仿宋"/>
                <w:sz w:val="18"/>
                <w:szCs w:val="18"/>
              </w:rPr>
              <w:t>1.包含AI云服务资源，以下内容任选：</w:t>
            </w:r>
            <w:r>
              <w:rPr>
                <w:rFonts w:eastAsia="仿宋"/>
                <w:sz w:val="18"/>
                <w:szCs w:val="18"/>
              </w:rPr>
              <w:br w:type="textWrapping"/>
            </w:r>
            <w:r>
              <w:rPr>
                <w:rFonts w:eastAsia="仿宋"/>
                <w:sz w:val="18"/>
                <w:szCs w:val="18"/>
              </w:rPr>
              <w:t>1）人工智能应用API(含图像内容检测、实时语音识别、人脸搜索/对比/检测、通用文字识别、图片搜索查询等20+API)</w:t>
            </w:r>
            <w:r>
              <w:rPr>
                <w:rFonts w:eastAsia="仿宋"/>
                <w:sz w:val="18"/>
                <w:szCs w:val="18"/>
              </w:rPr>
              <w:br w:type="textWrapping"/>
            </w:r>
            <w:r>
              <w:rPr>
                <w:rFonts w:eastAsia="仿宋"/>
                <w:sz w:val="18"/>
                <w:szCs w:val="18"/>
              </w:rPr>
              <w:t>2）AI开发平台ModelArts，提供模型学习训练的技术平台及资源服务</w:t>
            </w:r>
            <w:r>
              <w:rPr>
                <w:rFonts w:eastAsia="仿宋"/>
                <w:sz w:val="18"/>
                <w:szCs w:val="18"/>
              </w:rPr>
              <w:br w:type="textWrapping"/>
            </w:r>
            <w:r>
              <w:rPr>
                <w:rFonts w:eastAsia="仿宋"/>
                <w:sz w:val="18"/>
                <w:szCs w:val="18"/>
              </w:rPr>
              <w:t>3）AI大数据服务，提供数据接入、云数据迁移、数据湖工厂、数据仓库、数据湖探索等服务</w:t>
            </w:r>
            <w:r>
              <w:rPr>
                <w:rFonts w:eastAsia="仿宋"/>
                <w:sz w:val="18"/>
                <w:szCs w:val="18"/>
              </w:rPr>
              <w:br w:type="textWrapping"/>
            </w:r>
            <w:r>
              <w:rPr>
                <w:rFonts w:eastAsia="仿宋"/>
                <w:sz w:val="18"/>
                <w:szCs w:val="18"/>
              </w:rPr>
              <w:t>2.咨询服务：</w:t>
            </w:r>
          </w:p>
          <w:p>
            <w:pPr>
              <w:widowControl/>
              <w:rPr>
                <w:rFonts w:eastAsia="仿宋"/>
                <w:sz w:val="18"/>
                <w:szCs w:val="18"/>
              </w:rPr>
            </w:pPr>
            <w:r>
              <w:rPr>
                <w:rFonts w:eastAsia="仿宋"/>
                <w:sz w:val="18"/>
                <w:szCs w:val="18"/>
              </w:rPr>
              <w:t>1）帮助企业梳理自身业务与人工智能、大数据等服务的结合点，配置并开通合适的云服务</w:t>
            </w:r>
          </w:p>
          <w:p>
            <w:pPr>
              <w:widowControl/>
              <w:rPr>
                <w:rFonts w:eastAsia="仿宋"/>
                <w:sz w:val="18"/>
                <w:szCs w:val="18"/>
              </w:rPr>
            </w:pPr>
            <w:r>
              <w:rPr>
                <w:rFonts w:eastAsia="仿宋"/>
                <w:sz w:val="18"/>
                <w:szCs w:val="18"/>
              </w:rPr>
              <w:t>2）提供5*8小时运营团队远程指导服务</w:t>
            </w:r>
          </w:p>
          <w:p>
            <w:pPr>
              <w:widowControl/>
              <w:rPr>
                <w:rFonts w:eastAsia="仿宋"/>
                <w:sz w:val="18"/>
                <w:szCs w:val="18"/>
              </w:rPr>
            </w:pPr>
            <w:r>
              <w:rPr>
                <w:rFonts w:eastAsia="仿宋"/>
                <w:sz w:val="18"/>
                <w:szCs w:val="18"/>
              </w:rPr>
              <w:t>3）提供不超过5人天的运营团队现场服务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¥260,000.00 </w:t>
            </w:r>
          </w:p>
        </w:tc>
        <w:tc>
          <w:tcPr>
            <w:tcW w:w="1240" w:type="dxa"/>
            <w:vMerge w:val="restart"/>
            <w:tcBorders>
              <w:top w:val="nil"/>
              <w:left w:val="nil"/>
              <w:bottom w:val="single" w:color="000000" w:sz="4" w:space="0"/>
              <w:right w:val="single" w:color="auto" w:sz="4" w:space="0"/>
            </w:tcBorders>
            <w:shd w:val="clear" w:color="auto" w:fill="auto"/>
            <w:noWrap/>
            <w:vAlign w:val="center"/>
          </w:tcPr>
          <w:p>
            <w:pPr>
              <w:widowControl/>
              <w:jc w:val="center"/>
              <w:rPr>
                <w:rFonts w:eastAsia="仿宋"/>
                <w:sz w:val="18"/>
                <w:szCs w:val="18"/>
              </w:rPr>
            </w:pPr>
            <w:r>
              <w:rPr>
                <w:rFonts w:eastAsia="仿宋"/>
                <w:sz w:val="18"/>
                <w:szCs w:val="18"/>
              </w:rPr>
              <w:t>¥350,000.00</w:t>
            </w: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nil"/>
              <w:right w:val="single" w:color="auto" w:sz="4" w:space="0"/>
            </w:tcBorders>
            <w:shd w:val="clear" w:color="auto" w:fill="auto"/>
            <w:vAlign w:val="center"/>
          </w:tcPr>
          <w:p>
            <w:pPr>
              <w:rPr>
                <w:sz w:val="20"/>
                <w:szCs w:val="20"/>
              </w:rPr>
            </w:pP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推荐配置：</w:t>
            </w:r>
            <w:r>
              <w:rPr>
                <w:rFonts w:eastAsia="仿宋"/>
                <w:sz w:val="18"/>
                <w:szCs w:val="18"/>
              </w:rPr>
              <w:br w:type="textWrapping"/>
            </w:r>
            <w:r>
              <w:rPr>
                <w:rFonts w:eastAsia="仿宋"/>
                <w:sz w:val="18"/>
                <w:szCs w:val="18"/>
              </w:rPr>
              <w:t>虚机（16U32G  40G+500G硬盘）4台</w:t>
            </w:r>
          </w:p>
          <w:p>
            <w:pPr>
              <w:widowControl/>
              <w:rPr>
                <w:rFonts w:eastAsia="仿宋"/>
                <w:sz w:val="18"/>
                <w:szCs w:val="18"/>
              </w:rPr>
            </w:pPr>
            <w:r>
              <w:rPr>
                <w:rFonts w:eastAsia="仿宋"/>
                <w:sz w:val="18"/>
                <w:szCs w:val="18"/>
              </w:rPr>
              <w:t>EIP  2个</w:t>
            </w:r>
          </w:p>
          <w:p>
            <w:pPr>
              <w:widowControl/>
              <w:rPr>
                <w:rFonts w:eastAsia="仿宋"/>
                <w:sz w:val="18"/>
                <w:szCs w:val="18"/>
              </w:rPr>
            </w:pPr>
            <w:r>
              <w:rPr>
                <w:rFonts w:eastAsia="仿宋"/>
                <w:sz w:val="18"/>
                <w:szCs w:val="18"/>
              </w:rPr>
              <w:t>带宽（10M） 2个</w:t>
            </w:r>
          </w:p>
          <w:p>
            <w:pPr>
              <w:widowControl/>
              <w:rPr>
                <w:rFonts w:eastAsia="仿宋"/>
                <w:sz w:val="18"/>
                <w:szCs w:val="18"/>
              </w:rPr>
            </w:pPr>
            <w:r>
              <w:rPr>
                <w:rFonts w:eastAsia="仿宋"/>
                <w:sz w:val="18"/>
                <w:szCs w:val="18"/>
              </w:rPr>
              <w:t>RDS_MySQL（8U16G 500G存储） 1个</w:t>
            </w:r>
          </w:p>
          <w:p>
            <w:pPr>
              <w:widowControl/>
              <w:rPr>
                <w:rFonts w:eastAsia="仿宋"/>
                <w:sz w:val="18"/>
                <w:szCs w:val="18"/>
              </w:rPr>
            </w:pPr>
            <w:r>
              <w:rPr>
                <w:rFonts w:eastAsia="仿宋"/>
                <w:sz w:val="18"/>
                <w:szCs w:val="18"/>
              </w:rPr>
              <w:t>OBS(500G存储)  1个</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¥90,000.00 </w:t>
            </w:r>
          </w:p>
        </w:tc>
        <w:tc>
          <w:tcPr>
            <w:tcW w:w="1240" w:type="dxa"/>
            <w:vMerge w:val="continue"/>
            <w:tcBorders>
              <w:top w:val="nil"/>
              <w:left w:val="nil"/>
              <w:bottom w:val="single" w:color="000000" w:sz="4" w:space="0"/>
              <w:right w:val="single" w:color="auto" w:sz="4" w:space="0"/>
            </w:tcBorders>
            <w:shd w:val="clear" w:color="auto" w:fill="auto"/>
            <w:noWrap/>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restart"/>
            <w:tcBorders>
              <w:top w:val="nil"/>
              <w:left w:val="nil"/>
              <w:bottom w:val="nil"/>
              <w:right w:val="single" w:color="auto" w:sz="4" w:space="0"/>
            </w:tcBorders>
            <w:shd w:val="clear" w:color="auto" w:fill="auto"/>
            <w:vAlign w:val="center"/>
          </w:tcPr>
          <w:p>
            <w:pPr>
              <w:widowControl/>
              <w:rPr>
                <w:rFonts w:eastAsia="仿宋"/>
                <w:sz w:val="18"/>
                <w:szCs w:val="18"/>
              </w:rPr>
            </w:pPr>
            <w:r>
              <w:rPr>
                <w:rFonts w:eastAsia="仿宋"/>
                <w:sz w:val="18"/>
                <w:szCs w:val="18"/>
              </w:rPr>
              <w:t>4</w:t>
            </w:r>
          </w:p>
        </w:tc>
        <w:tc>
          <w:tcPr>
            <w:tcW w:w="709" w:type="dxa"/>
            <w:vMerge w:val="restart"/>
            <w:tcBorders>
              <w:top w:val="nil"/>
              <w:left w:val="nil"/>
              <w:bottom w:val="nil"/>
              <w:right w:val="single" w:color="auto" w:sz="4" w:space="0"/>
            </w:tcBorders>
            <w:shd w:val="clear" w:color="auto" w:fill="auto"/>
            <w:vAlign w:val="center"/>
          </w:tcPr>
          <w:p>
            <w:pPr>
              <w:widowControl/>
              <w:rPr>
                <w:rFonts w:eastAsia="仿宋"/>
                <w:sz w:val="18"/>
                <w:szCs w:val="18"/>
              </w:rPr>
            </w:pPr>
            <w:r>
              <w:rPr>
                <w:rFonts w:eastAsia="仿宋"/>
                <w:sz w:val="18"/>
                <w:szCs w:val="18"/>
              </w:rPr>
              <w:t>AI使能孵化套餐</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1.包含AI云服务资源，以下内容任选，按华为云官网单价进行计费：</w:t>
            </w:r>
          </w:p>
          <w:p>
            <w:pPr>
              <w:widowControl/>
              <w:jc w:val="left"/>
              <w:rPr>
                <w:rFonts w:eastAsia="仿宋"/>
                <w:sz w:val="18"/>
                <w:szCs w:val="18"/>
              </w:rPr>
            </w:pPr>
            <w:r>
              <w:rPr>
                <w:rFonts w:eastAsia="仿宋"/>
                <w:sz w:val="18"/>
                <w:szCs w:val="18"/>
              </w:rPr>
              <w:t xml:space="preserve">1) 人工智能应用API(含图像内容检测、实时语音识别、人脸搜索/对比/检测、通用文字识别、图片搜索查询等20+API) </w:t>
            </w:r>
          </w:p>
          <w:p>
            <w:pPr>
              <w:widowControl/>
              <w:jc w:val="left"/>
              <w:rPr>
                <w:rFonts w:eastAsia="仿宋"/>
                <w:sz w:val="18"/>
                <w:szCs w:val="18"/>
              </w:rPr>
            </w:pPr>
            <w:r>
              <w:rPr>
                <w:rFonts w:eastAsia="仿宋"/>
                <w:sz w:val="18"/>
                <w:szCs w:val="18"/>
              </w:rPr>
              <w:t>2) AI开发平台ModelArts，提供模型学习训练的技术平台及资源服务</w:t>
            </w:r>
            <w:r>
              <w:rPr>
                <w:rFonts w:eastAsia="仿宋"/>
                <w:sz w:val="18"/>
                <w:szCs w:val="18"/>
              </w:rPr>
              <w:br w:type="textWrapping"/>
            </w:r>
            <w:r>
              <w:rPr>
                <w:rFonts w:eastAsia="仿宋"/>
                <w:sz w:val="18"/>
                <w:szCs w:val="18"/>
              </w:rPr>
              <w:t>3)AI大数据服务，提供数据接入、云数据迁移、数据湖工厂、数据仓库、数据湖探索等服务</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¥160,000.00</w:t>
            </w:r>
          </w:p>
        </w:tc>
        <w:tc>
          <w:tcPr>
            <w:tcW w:w="1240" w:type="dxa"/>
            <w:vMerge w:val="restart"/>
            <w:tcBorders>
              <w:top w:val="nil"/>
              <w:left w:val="nil"/>
              <w:bottom w:val="nil"/>
              <w:right w:val="single" w:color="auto" w:sz="4" w:space="0"/>
            </w:tcBorders>
            <w:shd w:val="clear" w:color="auto" w:fill="auto"/>
            <w:vAlign w:val="center"/>
          </w:tcPr>
          <w:p>
            <w:pPr>
              <w:widowControl/>
              <w:rPr>
                <w:rFonts w:eastAsia="仿宋"/>
                <w:sz w:val="18"/>
                <w:szCs w:val="18"/>
              </w:rPr>
            </w:pPr>
            <w:r>
              <w:rPr>
                <w:rFonts w:eastAsia="仿宋"/>
                <w:sz w:val="18"/>
                <w:szCs w:val="18"/>
              </w:rPr>
              <w:t>¥400,000.00</w:t>
            </w:r>
          </w:p>
        </w:tc>
      </w:tr>
      <w:tr>
        <w:tblPrEx>
          <w:tblCellMar>
            <w:top w:w="0" w:type="dxa"/>
            <w:left w:w="108" w:type="dxa"/>
            <w:bottom w:w="0" w:type="dxa"/>
            <w:right w:w="108" w:type="dxa"/>
          </w:tblCellMar>
        </w:tblPrEx>
        <w:trPr>
          <w:trHeight w:val="699"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nil"/>
              <w:right w:val="single" w:color="auto" w:sz="4" w:space="0"/>
            </w:tcBorders>
            <w:shd w:val="clear" w:color="auto" w:fill="auto"/>
            <w:vAlign w:val="center"/>
          </w:tcPr>
          <w:p>
            <w:pPr>
              <w:rPr>
                <w:sz w:val="20"/>
                <w:szCs w:val="20"/>
              </w:rPr>
            </w:pPr>
          </w:p>
        </w:tc>
        <w:tc>
          <w:tcPr>
            <w:tcW w:w="709" w:type="dxa"/>
            <w:vMerge w:val="continue"/>
            <w:tcBorders>
              <w:top w:val="nil"/>
              <w:left w:val="nil"/>
              <w:bottom w:val="nil"/>
              <w:right w:val="single" w:color="auto" w:sz="4" w:space="0"/>
            </w:tcBorders>
            <w:shd w:val="clear" w:color="auto" w:fill="auto"/>
            <w:vAlign w:val="center"/>
          </w:tcPr>
          <w:p>
            <w:pPr>
              <w:rPr>
                <w:sz w:val="20"/>
                <w:szCs w:val="20"/>
              </w:rPr>
            </w:pP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1.虚机</w:t>
            </w:r>
            <w:r>
              <w:rPr>
                <w:rFonts w:eastAsia="仿宋"/>
                <w:sz w:val="18"/>
                <w:szCs w:val="18"/>
              </w:rPr>
              <w:br w:type="textWrapping"/>
            </w:r>
            <w:r>
              <w:rPr>
                <w:rFonts w:eastAsia="仿宋"/>
                <w:sz w:val="18"/>
                <w:szCs w:val="18"/>
              </w:rPr>
              <w:t xml:space="preserve">2.EIP  </w:t>
            </w:r>
            <w:r>
              <w:rPr>
                <w:rFonts w:eastAsia="仿宋"/>
                <w:sz w:val="18"/>
                <w:szCs w:val="18"/>
              </w:rPr>
              <w:br w:type="textWrapping"/>
            </w:r>
            <w:r>
              <w:rPr>
                <w:rFonts w:eastAsia="仿宋"/>
                <w:sz w:val="18"/>
                <w:szCs w:val="18"/>
              </w:rPr>
              <w:t>3.带宽</w:t>
            </w:r>
            <w:r>
              <w:rPr>
                <w:rFonts w:eastAsia="仿宋"/>
                <w:sz w:val="18"/>
                <w:szCs w:val="18"/>
              </w:rPr>
              <w:br w:type="textWrapping"/>
            </w:r>
            <w:r>
              <w:rPr>
                <w:rFonts w:eastAsia="仿宋"/>
                <w:sz w:val="18"/>
                <w:szCs w:val="18"/>
              </w:rPr>
              <w:t>4.RDS_MySQL</w:t>
            </w:r>
            <w:r>
              <w:rPr>
                <w:rFonts w:eastAsia="仿宋"/>
                <w:sz w:val="18"/>
                <w:szCs w:val="18"/>
              </w:rPr>
              <w:br w:type="textWrapping"/>
            </w:r>
            <w:r>
              <w:rPr>
                <w:rFonts w:eastAsia="仿宋"/>
                <w:sz w:val="18"/>
                <w:szCs w:val="18"/>
              </w:rPr>
              <w:t>5.OBS</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¥240,000.00</w:t>
            </w:r>
          </w:p>
        </w:tc>
        <w:tc>
          <w:tcPr>
            <w:tcW w:w="1240"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5</w:t>
            </w:r>
          </w:p>
        </w:tc>
        <w:tc>
          <w:tcPr>
            <w:tcW w:w="709" w:type="dxa"/>
            <w:vMerge w:val="restart"/>
            <w:tcBorders>
              <w:top w:val="nil"/>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AI使能高级套餐</w:t>
            </w:r>
          </w:p>
        </w:tc>
        <w:tc>
          <w:tcPr>
            <w:tcW w:w="3827"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套餐包自启用后一年内有效。</w:t>
            </w:r>
            <w:r>
              <w:rPr>
                <w:rFonts w:eastAsia="仿宋"/>
                <w:sz w:val="18"/>
                <w:szCs w:val="18"/>
              </w:rPr>
              <w:br w:type="textWrapping"/>
            </w:r>
            <w:r>
              <w:rPr>
                <w:rFonts w:eastAsia="仿宋"/>
                <w:sz w:val="18"/>
                <w:szCs w:val="18"/>
              </w:rPr>
              <w:t>1.包含AI云服务资源，以下内容任选：</w:t>
            </w:r>
            <w:r>
              <w:rPr>
                <w:rFonts w:eastAsia="仿宋"/>
                <w:sz w:val="18"/>
                <w:szCs w:val="18"/>
              </w:rPr>
              <w:br w:type="textWrapping"/>
            </w:r>
            <w:r>
              <w:rPr>
                <w:rFonts w:eastAsia="仿宋"/>
                <w:sz w:val="18"/>
                <w:szCs w:val="18"/>
              </w:rPr>
              <w:t>1）人工智能应用API(含图像内容检测、实时语音识别、人脸搜索/对比/检测、通用文字识别、图片搜索查询等20+API)</w:t>
            </w:r>
            <w:r>
              <w:rPr>
                <w:rFonts w:eastAsia="仿宋"/>
                <w:sz w:val="18"/>
                <w:szCs w:val="18"/>
              </w:rPr>
              <w:br w:type="textWrapping"/>
            </w:r>
            <w:r>
              <w:rPr>
                <w:rFonts w:eastAsia="仿宋"/>
                <w:sz w:val="18"/>
                <w:szCs w:val="18"/>
              </w:rPr>
              <w:t>2） AI开发平台ModelArts，提供模型学习训练的技术平台及资源服务</w:t>
            </w:r>
            <w:r>
              <w:rPr>
                <w:rFonts w:eastAsia="仿宋"/>
                <w:sz w:val="18"/>
                <w:szCs w:val="18"/>
              </w:rPr>
              <w:br w:type="textWrapping"/>
            </w:r>
            <w:r>
              <w:rPr>
                <w:rFonts w:eastAsia="仿宋"/>
                <w:sz w:val="18"/>
                <w:szCs w:val="18"/>
              </w:rPr>
              <w:t>3） AI大数据服务，提供数据接入、云数据迁移、数据湖工厂、数据仓库、数据湖探索等服务</w:t>
            </w:r>
            <w:r>
              <w:rPr>
                <w:rFonts w:eastAsia="仿宋"/>
                <w:sz w:val="18"/>
                <w:szCs w:val="18"/>
              </w:rPr>
              <w:br w:type="textWrapping"/>
            </w:r>
            <w:r>
              <w:rPr>
                <w:rFonts w:eastAsia="仿宋"/>
                <w:sz w:val="18"/>
                <w:szCs w:val="18"/>
              </w:rPr>
              <w:t>2.咨询服务：</w:t>
            </w:r>
          </w:p>
          <w:p>
            <w:pPr>
              <w:widowControl/>
              <w:rPr>
                <w:rFonts w:eastAsia="仿宋"/>
                <w:sz w:val="18"/>
                <w:szCs w:val="18"/>
              </w:rPr>
            </w:pPr>
            <w:r>
              <w:rPr>
                <w:rFonts w:eastAsia="仿宋"/>
                <w:sz w:val="18"/>
                <w:szCs w:val="18"/>
              </w:rPr>
              <w:t>1）帮助企业梳理自身业务与人工智能、大数据等服务的结合点，配置并开通合适的云服务</w:t>
            </w:r>
          </w:p>
          <w:p>
            <w:pPr>
              <w:widowControl/>
              <w:rPr>
                <w:rFonts w:eastAsia="仿宋"/>
                <w:sz w:val="18"/>
                <w:szCs w:val="18"/>
              </w:rPr>
            </w:pPr>
            <w:r>
              <w:rPr>
                <w:rFonts w:eastAsia="仿宋"/>
                <w:sz w:val="18"/>
                <w:szCs w:val="18"/>
              </w:rPr>
              <w:t>2）提供5*8小时运营团队远程指导服务</w:t>
            </w:r>
          </w:p>
          <w:p>
            <w:pPr>
              <w:widowControl/>
              <w:rPr>
                <w:rFonts w:eastAsia="仿宋"/>
                <w:sz w:val="18"/>
                <w:szCs w:val="18"/>
              </w:rPr>
            </w:pPr>
            <w:r>
              <w:rPr>
                <w:rFonts w:eastAsia="仿宋"/>
                <w:sz w:val="18"/>
                <w:szCs w:val="18"/>
              </w:rPr>
              <w:t>3）提供不超过10人天的运营团队现场服务</w:t>
            </w:r>
          </w:p>
        </w:tc>
        <w:tc>
          <w:tcPr>
            <w:tcW w:w="992"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¥410,000.00 </w:t>
            </w:r>
          </w:p>
        </w:tc>
        <w:tc>
          <w:tcPr>
            <w:tcW w:w="1240" w:type="dxa"/>
            <w:vMerge w:val="restart"/>
            <w:tcBorders>
              <w:top w:val="nil"/>
              <w:left w:val="nil"/>
              <w:bottom w:val="single" w:color="000000" w:sz="4" w:space="0"/>
              <w:right w:val="single" w:color="auto" w:sz="4" w:space="0"/>
            </w:tcBorders>
            <w:shd w:val="clear" w:color="auto" w:fill="auto"/>
            <w:noWrap/>
            <w:vAlign w:val="center"/>
          </w:tcPr>
          <w:p>
            <w:pPr>
              <w:widowControl/>
              <w:jc w:val="center"/>
              <w:rPr>
                <w:rFonts w:eastAsia="仿宋"/>
                <w:sz w:val="18"/>
                <w:szCs w:val="18"/>
              </w:rPr>
            </w:pPr>
            <w:r>
              <w:rPr>
                <w:rFonts w:eastAsia="仿宋"/>
                <w:sz w:val="18"/>
                <w:szCs w:val="18"/>
              </w:rPr>
              <w:t>¥550,000.00</w:t>
            </w: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709" w:type="dxa"/>
            <w:vMerge w:val="continue"/>
            <w:tcBorders>
              <w:top w:val="nil"/>
              <w:left w:val="nil"/>
              <w:bottom w:val="single" w:color="auto" w:sz="4" w:space="0"/>
              <w:right w:val="single" w:color="auto" w:sz="4" w:space="0"/>
            </w:tcBorders>
            <w:shd w:val="clear" w:color="auto" w:fill="auto"/>
            <w:vAlign w:val="center"/>
          </w:tcPr>
          <w:p>
            <w:pPr>
              <w:rPr>
                <w:sz w:val="20"/>
                <w:szCs w:val="20"/>
              </w:rPr>
            </w:pP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推荐配置：</w:t>
            </w:r>
            <w:r>
              <w:rPr>
                <w:rFonts w:eastAsia="仿宋"/>
                <w:sz w:val="18"/>
                <w:szCs w:val="18"/>
              </w:rPr>
              <w:br w:type="textWrapping"/>
            </w:r>
            <w:r>
              <w:rPr>
                <w:rFonts w:eastAsia="仿宋"/>
                <w:sz w:val="18"/>
                <w:szCs w:val="18"/>
              </w:rPr>
              <w:t>虚机（16U64G  40G+500G硬盘）4台</w:t>
            </w:r>
          </w:p>
          <w:p>
            <w:pPr>
              <w:widowControl/>
              <w:rPr>
                <w:rFonts w:eastAsia="仿宋"/>
                <w:sz w:val="18"/>
                <w:szCs w:val="18"/>
              </w:rPr>
            </w:pPr>
            <w:r>
              <w:rPr>
                <w:rFonts w:eastAsia="仿宋"/>
                <w:sz w:val="18"/>
                <w:szCs w:val="18"/>
              </w:rPr>
              <w:t>EIP  2个</w:t>
            </w:r>
          </w:p>
          <w:p>
            <w:pPr>
              <w:widowControl/>
              <w:rPr>
                <w:rFonts w:eastAsia="仿宋"/>
                <w:sz w:val="18"/>
                <w:szCs w:val="18"/>
              </w:rPr>
            </w:pPr>
            <w:r>
              <w:rPr>
                <w:rFonts w:eastAsia="仿宋"/>
                <w:sz w:val="18"/>
                <w:szCs w:val="18"/>
              </w:rPr>
              <w:t>带宽（10M） 2个</w:t>
            </w:r>
          </w:p>
          <w:p>
            <w:pPr>
              <w:widowControl/>
              <w:rPr>
                <w:rFonts w:eastAsia="仿宋"/>
                <w:sz w:val="18"/>
                <w:szCs w:val="18"/>
              </w:rPr>
            </w:pPr>
            <w:r>
              <w:rPr>
                <w:rFonts w:eastAsia="仿宋"/>
                <w:sz w:val="18"/>
                <w:szCs w:val="18"/>
              </w:rPr>
              <w:t>RDS_MySQL（16U64G 500G存储） 1个</w:t>
            </w:r>
          </w:p>
          <w:p>
            <w:pPr>
              <w:widowControl/>
              <w:rPr>
                <w:rFonts w:eastAsia="仿宋"/>
                <w:sz w:val="18"/>
                <w:szCs w:val="18"/>
              </w:rPr>
            </w:pPr>
            <w:r>
              <w:rPr>
                <w:rFonts w:eastAsia="仿宋"/>
                <w:sz w:val="18"/>
                <w:szCs w:val="18"/>
              </w:rPr>
              <w:t>OBS(1TB存储)  1个</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¥140,000.00 </w:t>
            </w:r>
          </w:p>
        </w:tc>
        <w:tc>
          <w:tcPr>
            <w:tcW w:w="1240" w:type="dxa"/>
            <w:vMerge w:val="continue"/>
            <w:tcBorders>
              <w:top w:val="nil"/>
              <w:left w:val="nil"/>
              <w:bottom w:val="single" w:color="000000" w:sz="4" w:space="0"/>
              <w:right w:val="single" w:color="auto" w:sz="4" w:space="0"/>
            </w:tcBorders>
            <w:shd w:val="clear" w:color="auto" w:fill="auto"/>
            <w:noWrap/>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restart"/>
            <w:tcBorders>
              <w:top w:val="nil"/>
              <w:left w:val="nil"/>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6</w:t>
            </w:r>
          </w:p>
        </w:tc>
        <w:tc>
          <w:tcPr>
            <w:tcW w:w="709" w:type="dxa"/>
            <w:vMerge w:val="restart"/>
            <w:tcBorders>
              <w:top w:val="nil"/>
              <w:left w:val="nil"/>
              <w:bottom w:val="nil"/>
              <w:right w:val="single" w:color="auto" w:sz="4" w:space="0"/>
            </w:tcBorders>
            <w:shd w:val="clear" w:color="auto" w:fill="auto"/>
            <w:vAlign w:val="center"/>
          </w:tcPr>
          <w:p>
            <w:pPr>
              <w:widowControl/>
              <w:rPr>
                <w:rFonts w:eastAsia="仿宋"/>
                <w:sz w:val="18"/>
                <w:szCs w:val="18"/>
              </w:rPr>
            </w:pPr>
            <w:r>
              <w:rPr>
                <w:rFonts w:eastAsia="仿宋"/>
                <w:sz w:val="18"/>
                <w:szCs w:val="18"/>
              </w:rPr>
              <w:t>AI使能标杆套餐包</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套餐包自启用后一年内有效。</w:t>
            </w:r>
            <w:r>
              <w:rPr>
                <w:rFonts w:eastAsia="仿宋"/>
                <w:sz w:val="18"/>
                <w:szCs w:val="18"/>
              </w:rPr>
              <w:br w:type="textWrapping"/>
            </w:r>
            <w:r>
              <w:rPr>
                <w:rFonts w:eastAsia="仿宋"/>
                <w:sz w:val="18"/>
                <w:szCs w:val="18"/>
              </w:rPr>
              <w:t>1.包含AI云服务资源，以下内容任选：</w:t>
            </w:r>
            <w:r>
              <w:rPr>
                <w:rFonts w:eastAsia="仿宋"/>
                <w:sz w:val="18"/>
                <w:szCs w:val="18"/>
              </w:rPr>
              <w:br w:type="textWrapping"/>
            </w:r>
            <w:r>
              <w:rPr>
                <w:rFonts w:eastAsia="仿宋"/>
                <w:sz w:val="18"/>
                <w:szCs w:val="18"/>
              </w:rPr>
              <w:t>1）人工智能应用API(含图像内容检测、实时语音识别、人脸搜索/对比/检测、通用文字识别、图片搜索查询等20+API)</w:t>
            </w:r>
            <w:r>
              <w:rPr>
                <w:rFonts w:eastAsia="仿宋"/>
                <w:sz w:val="18"/>
                <w:szCs w:val="18"/>
              </w:rPr>
              <w:br w:type="textWrapping"/>
            </w:r>
            <w:r>
              <w:rPr>
                <w:rFonts w:eastAsia="仿宋"/>
                <w:sz w:val="18"/>
                <w:szCs w:val="18"/>
              </w:rPr>
              <w:t>2） AI开发平台ModelArts，提供模型学习训练的技术平台及资源服务</w:t>
            </w:r>
            <w:r>
              <w:rPr>
                <w:rFonts w:eastAsia="仿宋"/>
                <w:sz w:val="18"/>
                <w:szCs w:val="18"/>
              </w:rPr>
              <w:br w:type="textWrapping"/>
            </w:r>
            <w:r>
              <w:rPr>
                <w:rFonts w:eastAsia="仿宋"/>
                <w:sz w:val="18"/>
                <w:szCs w:val="18"/>
              </w:rPr>
              <w:t>3） AI大数据服务，提供数据接入、云数据迁移、数据湖工厂、数据仓库、数据湖探索等服务</w:t>
            </w:r>
            <w:r>
              <w:rPr>
                <w:rFonts w:eastAsia="仿宋"/>
                <w:sz w:val="18"/>
                <w:szCs w:val="18"/>
              </w:rPr>
              <w:br w:type="textWrapping"/>
            </w:r>
            <w:r>
              <w:rPr>
                <w:rFonts w:eastAsia="仿宋"/>
                <w:sz w:val="18"/>
                <w:szCs w:val="18"/>
              </w:rPr>
              <w:t>2.咨询服务：</w:t>
            </w:r>
          </w:p>
          <w:p>
            <w:pPr>
              <w:widowControl/>
              <w:rPr>
                <w:rFonts w:eastAsia="仿宋"/>
                <w:sz w:val="18"/>
                <w:szCs w:val="18"/>
              </w:rPr>
            </w:pPr>
            <w:r>
              <w:rPr>
                <w:rFonts w:eastAsia="仿宋"/>
                <w:sz w:val="18"/>
                <w:szCs w:val="18"/>
              </w:rPr>
              <w:t>1）帮助企业梳理自身业务与人工智能、大数据等服务的结合点，配置并开通合适的云服务</w:t>
            </w:r>
          </w:p>
          <w:p>
            <w:pPr>
              <w:widowControl/>
              <w:rPr>
                <w:rFonts w:eastAsia="仿宋"/>
                <w:sz w:val="18"/>
                <w:szCs w:val="18"/>
              </w:rPr>
            </w:pPr>
            <w:r>
              <w:rPr>
                <w:rFonts w:eastAsia="仿宋"/>
                <w:sz w:val="18"/>
                <w:szCs w:val="18"/>
              </w:rPr>
              <w:t>2）提供5*8小时运营团队远程指导服务</w:t>
            </w:r>
          </w:p>
          <w:p>
            <w:pPr>
              <w:widowControl/>
              <w:rPr>
                <w:rFonts w:eastAsia="仿宋"/>
                <w:sz w:val="18"/>
                <w:szCs w:val="18"/>
              </w:rPr>
            </w:pPr>
            <w:r>
              <w:rPr>
                <w:rFonts w:eastAsia="仿宋"/>
                <w:sz w:val="18"/>
                <w:szCs w:val="18"/>
              </w:rPr>
              <w:t>3）提供不超过10人天的运营团队现场服务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¥560,000.00 </w:t>
            </w:r>
          </w:p>
        </w:tc>
        <w:tc>
          <w:tcPr>
            <w:tcW w:w="1240" w:type="dxa"/>
            <w:vMerge w:val="restart"/>
            <w:tcBorders>
              <w:top w:val="nil"/>
              <w:left w:val="nil"/>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¥750,000.00</w:t>
            </w: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vMerge w:val="continue"/>
            <w:tcBorders>
              <w:top w:val="nil"/>
              <w:left w:val="nil"/>
              <w:bottom w:val="nil"/>
              <w:right w:val="single" w:color="auto" w:sz="4" w:space="0"/>
            </w:tcBorders>
            <w:shd w:val="clear" w:color="auto" w:fill="auto"/>
            <w:vAlign w:val="center"/>
          </w:tcPr>
          <w:p>
            <w:pPr>
              <w:rPr>
                <w:sz w:val="20"/>
                <w:szCs w:val="20"/>
              </w:rPr>
            </w:pPr>
          </w:p>
        </w:tc>
        <w:tc>
          <w:tcPr>
            <w:tcW w:w="709" w:type="dxa"/>
            <w:vMerge w:val="continue"/>
            <w:tcBorders>
              <w:top w:val="nil"/>
              <w:left w:val="nil"/>
              <w:bottom w:val="nil"/>
              <w:right w:val="single" w:color="auto" w:sz="4" w:space="0"/>
            </w:tcBorders>
            <w:shd w:val="clear" w:color="auto" w:fill="auto"/>
            <w:vAlign w:val="center"/>
          </w:tcPr>
          <w:p>
            <w:pPr>
              <w:rPr>
                <w:sz w:val="20"/>
                <w:szCs w:val="20"/>
              </w:rPr>
            </w:pP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推荐配置：</w:t>
            </w:r>
            <w:r>
              <w:rPr>
                <w:rFonts w:eastAsia="仿宋"/>
                <w:sz w:val="18"/>
                <w:szCs w:val="18"/>
              </w:rPr>
              <w:br w:type="textWrapping"/>
            </w:r>
            <w:r>
              <w:rPr>
                <w:rFonts w:eastAsia="仿宋"/>
                <w:sz w:val="18"/>
                <w:szCs w:val="18"/>
              </w:rPr>
              <w:t>虚机（16U64G  40G+500G硬盘）4台</w:t>
            </w:r>
          </w:p>
          <w:p>
            <w:pPr>
              <w:widowControl/>
              <w:rPr>
                <w:rFonts w:eastAsia="仿宋"/>
                <w:sz w:val="18"/>
                <w:szCs w:val="18"/>
              </w:rPr>
            </w:pPr>
            <w:r>
              <w:rPr>
                <w:rFonts w:eastAsia="仿宋"/>
                <w:sz w:val="18"/>
                <w:szCs w:val="18"/>
              </w:rPr>
              <w:t>虚机（8U16G  40G+500G硬盘）4台</w:t>
            </w:r>
          </w:p>
          <w:p>
            <w:pPr>
              <w:widowControl/>
              <w:rPr>
                <w:rFonts w:eastAsia="仿宋"/>
                <w:sz w:val="18"/>
                <w:szCs w:val="18"/>
              </w:rPr>
            </w:pPr>
            <w:r>
              <w:rPr>
                <w:rFonts w:eastAsia="仿宋"/>
                <w:sz w:val="18"/>
                <w:szCs w:val="18"/>
              </w:rPr>
              <w:t>EIP  4个</w:t>
            </w:r>
          </w:p>
          <w:p>
            <w:pPr>
              <w:widowControl/>
              <w:rPr>
                <w:rFonts w:eastAsia="仿宋"/>
                <w:sz w:val="18"/>
                <w:szCs w:val="18"/>
              </w:rPr>
            </w:pPr>
            <w:r>
              <w:rPr>
                <w:rFonts w:eastAsia="仿宋"/>
                <w:sz w:val="18"/>
                <w:szCs w:val="18"/>
              </w:rPr>
              <w:t>带宽（10M） 2个</w:t>
            </w:r>
          </w:p>
          <w:p>
            <w:pPr>
              <w:widowControl/>
              <w:rPr>
                <w:rFonts w:eastAsia="仿宋"/>
                <w:sz w:val="18"/>
                <w:szCs w:val="18"/>
              </w:rPr>
            </w:pPr>
            <w:r>
              <w:rPr>
                <w:rFonts w:eastAsia="仿宋"/>
                <w:sz w:val="18"/>
                <w:szCs w:val="18"/>
              </w:rPr>
              <w:t>带宽（5M） 2个</w:t>
            </w:r>
          </w:p>
          <w:p>
            <w:pPr>
              <w:widowControl/>
              <w:rPr>
                <w:rFonts w:eastAsia="仿宋"/>
                <w:sz w:val="18"/>
                <w:szCs w:val="18"/>
              </w:rPr>
            </w:pPr>
            <w:r>
              <w:rPr>
                <w:rFonts w:eastAsia="仿宋"/>
                <w:sz w:val="18"/>
                <w:szCs w:val="18"/>
              </w:rPr>
              <w:t>RDS_MySQL（16U64G 500G存储） 1个</w:t>
            </w:r>
          </w:p>
          <w:p>
            <w:pPr>
              <w:widowControl/>
              <w:rPr>
                <w:rFonts w:eastAsia="仿宋"/>
                <w:sz w:val="18"/>
                <w:szCs w:val="18"/>
              </w:rPr>
            </w:pPr>
            <w:r>
              <w:rPr>
                <w:rFonts w:eastAsia="仿宋"/>
                <w:sz w:val="18"/>
                <w:szCs w:val="18"/>
              </w:rPr>
              <w:t>RDS_MySQL（4U16G 500G存储） 1个</w:t>
            </w:r>
          </w:p>
          <w:p>
            <w:pPr>
              <w:widowControl/>
              <w:rPr>
                <w:rFonts w:eastAsia="仿宋"/>
                <w:sz w:val="18"/>
                <w:szCs w:val="18"/>
              </w:rPr>
            </w:pPr>
            <w:r>
              <w:rPr>
                <w:rFonts w:eastAsia="仿宋"/>
                <w:sz w:val="18"/>
                <w:szCs w:val="18"/>
              </w:rPr>
              <w:t>OBS(1TB存储)  1个</w:t>
            </w:r>
          </w:p>
          <w:p>
            <w:pPr>
              <w:widowControl/>
              <w:rPr>
                <w:rFonts w:eastAsia="仿宋"/>
                <w:sz w:val="18"/>
                <w:szCs w:val="18"/>
              </w:rPr>
            </w:pPr>
            <w:r>
              <w:rPr>
                <w:rFonts w:eastAsia="仿宋"/>
                <w:sz w:val="18"/>
                <w:szCs w:val="18"/>
              </w:rPr>
              <w:t>OBS(500G存储)  1个</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元/套餐包/年</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¥190,000.00 </w:t>
            </w:r>
          </w:p>
        </w:tc>
        <w:tc>
          <w:tcPr>
            <w:tcW w:w="1240" w:type="dxa"/>
            <w:vMerge w:val="continue"/>
            <w:tcBorders>
              <w:top w:val="nil"/>
              <w:left w:val="nil"/>
              <w:bottom w:val="nil"/>
              <w:right w:val="single" w:color="auto" w:sz="4" w:space="0"/>
            </w:tcBorders>
            <w:shd w:val="clear" w:color="auto" w:fill="auto"/>
            <w:vAlign w:val="center"/>
          </w:tcPr>
          <w:p>
            <w:pPr>
              <w:rPr>
                <w:sz w:val="20"/>
                <w:szCs w:val="20"/>
              </w:rPr>
            </w:pPr>
          </w:p>
        </w:tc>
      </w:tr>
      <w:tr>
        <w:tblPrEx>
          <w:tblCellMar>
            <w:top w:w="0" w:type="dxa"/>
            <w:left w:w="108" w:type="dxa"/>
            <w:bottom w:w="0" w:type="dxa"/>
            <w:right w:w="108" w:type="dxa"/>
          </w:tblCellMar>
        </w:tblPrEx>
        <w:trPr>
          <w:trHeight w:val="1000" w:hRule="atLeast"/>
        </w:trPr>
        <w:tc>
          <w:tcPr>
            <w:tcW w:w="765" w:type="dxa"/>
            <w:vMerge w:val="continue"/>
            <w:tcBorders>
              <w:top w:val="nil"/>
              <w:left w:val="single" w:color="auto" w:sz="4" w:space="0"/>
              <w:bottom w:val="nil"/>
              <w:right w:val="single" w:color="auto" w:sz="4" w:space="0"/>
            </w:tcBorders>
            <w:shd w:val="clear" w:color="auto" w:fill="auto"/>
            <w:vAlign w:val="center"/>
          </w:tcPr>
          <w:p>
            <w:pPr>
              <w:rPr>
                <w:sz w:val="20"/>
                <w:szCs w:val="20"/>
              </w:rPr>
            </w:pPr>
          </w:p>
        </w:tc>
        <w:tc>
          <w:tcPr>
            <w:tcW w:w="6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7</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AI使能严选套餐</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包含华为云上现有AI严选自营方案。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元/方案</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参考华为官网</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参考华为官网</w:t>
            </w:r>
          </w:p>
        </w:tc>
      </w:tr>
      <w:tr>
        <w:tblPrEx>
          <w:tblCellMar>
            <w:top w:w="0" w:type="dxa"/>
            <w:left w:w="108" w:type="dxa"/>
            <w:bottom w:w="0" w:type="dxa"/>
            <w:right w:w="108" w:type="dxa"/>
          </w:tblCellMar>
        </w:tblPrEx>
        <w:trPr>
          <w:trHeight w:val="1000"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p>
        </w:tc>
        <w:tc>
          <w:tcPr>
            <w:tcW w:w="6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8</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AI联营联运套餐</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包含华为云上现有AI联营联运方案。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元/方案</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参考华为官网</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参考华为官网</w:t>
            </w:r>
          </w:p>
        </w:tc>
      </w:tr>
      <w:tr>
        <w:tblPrEx>
          <w:tblCellMar>
            <w:top w:w="0" w:type="dxa"/>
            <w:left w:w="108" w:type="dxa"/>
            <w:bottom w:w="0" w:type="dxa"/>
            <w:right w:w="108" w:type="dxa"/>
          </w:tblCellMar>
        </w:tblPrEx>
        <w:trPr>
          <w:trHeight w:val="553" w:hRule="atLeast"/>
        </w:trPr>
        <w:tc>
          <w:tcPr>
            <w:tcW w:w="94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备注：原则上每次申报单个项目只允许申请一项华为AI使能服务套餐，使能套餐包内为示意配置，申报单位可根据自身业务需求选择云服务。</w:t>
            </w:r>
          </w:p>
        </w:tc>
      </w:tr>
    </w:tbl>
    <w:p>
      <w:pPr>
        <w:rPr>
          <w:rFonts w:eastAsia="仿宋"/>
          <w:b/>
          <w:szCs w:val="21"/>
        </w:rPr>
      </w:pPr>
    </w:p>
    <w:tbl>
      <w:tblPr>
        <w:tblStyle w:val="4"/>
        <w:tblW w:w="9377" w:type="dxa"/>
        <w:tblInd w:w="113" w:type="dxa"/>
        <w:tblLayout w:type="fixed"/>
        <w:tblCellMar>
          <w:top w:w="0" w:type="dxa"/>
          <w:left w:w="108" w:type="dxa"/>
          <w:bottom w:w="0" w:type="dxa"/>
          <w:right w:w="108" w:type="dxa"/>
        </w:tblCellMar>
      </w:tblPr>
      <w:tblGrid>
        <w:gridCol w:w="837"/>
        <w:gridCol w:w="576"/>
        <w:gridCol w:w="732"/>
        <w:gridCol w:w="4904"/>
        <w:gridCol w:w="793"/>
        <w:gridCol w:w="1535"/>
      </w:tblGrid>
      <w:tr>
        <w:trPr>
          <w:trHeight w:val="814" w:hRule="atLeast"/>
        </w:trPr>
        <w:tc>
          <w:tcPr>
            <w:tcW w:w="9377" w:type="dxa"/>
            <w:gridSpan w:val="6"/>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黑体"/>
                <w:b/>
                <w:sz w:val="18"/>
                <w:szCs w:val="18"/>
              </w:rPr>
            </w:pPr>
            <w:r>
              <w:rPr>
                <w:rFonts w:eastAsia="黑体"/>
                <w:b/>
                <w:sz w:val="28"/>
                <w:szCs w:val="28"/>
              </w:rPr>
              <w:t>二、华为AI培训服务</w:t>
            </w:r>
          </w:p>
        </w:tc>
      </w:tr>
      <w:tr>
        <w:tblPrEx>
          <w:tblCellMar>
            <w:top w:w="0" w:type="dxa"/>
            <w:left w:w="108" w:type="dxa"/>
            <w:bottom w:w="0" w:type="dxa"/>
            <w:right w:w="108" w:type="dxa"/>
          </w:tblCellMar>
        </w:tblPrEx>
        <w:trPr>
          <w:trHeight w:val="1680" w:hRule="atLeast"/>
        </w:trPr>
        <w:tc>
          <w:tcPr>
            <w:tcW w:w="837"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仿宋"/>
                <w:sz w:val="18"/>
                <w:szCs w:val="18"/>
              </w:rPr>
            </w:pPr>
            <w:r>
              <w:rPr>
                <w:rFonts w:eastAsia="仿宋"/>
                <w:sz w:val="18"/>
                <w:szCs w:val="18"/>
              </w:rPr>
              <w:t>华为AI培训服务</w:t>
            </w: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华为云大数据工程师培训班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定位于培养系统理解大数据架构、技术原理，熟练掌握华为云大数据平台MRS服务方案，同时具备大数据平台部署和运维管理能力的工程师。</w:t>
            </w:r>
          </w:p>
          <w:p>
            <w:pPr>
              <w:widowControl/>
              <w:rPr>
                <w:rFonts w:eastAsia="仿宋"/>
                <w:sz w:val="18"/>
                <w:szCs w:val="18"/>
              </w:rPr>
            </w:pPr>
            <w:r>
              <w:rPr>
                <w:rFonts w:eastAsia="仿宋"/>
                <w:sz w:val="18"/>
                <w:szCs w:val="18"/>
              </w:rPr>
              <w:t>内容包括：大数据发展趋势与鲲鹏大数据；常用大数据组件技术原理及应用：HDFS分布式文件系统与Zookeeper，Hive分布式数据仓库，HBase技术原理，MapReduce和Yarn技术原理，Spark基于内存的分布式计算，Flink流计算处理和批处理平台，Flume海量日志聚合，Loader数据转换，Kafka分布式消息订阅系统，Hadoop基础技术-Kerberos&amp;LDAP，Elasticsearch分布式搜索引擎；华为大数据解决方案介绍；基于华为云上大数据组件的实战演练以及大数据综合应用实战。</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1.培训时长5天，20人以内</w:t>
            </w:r>
          </w:p>
          <w:p>
            <w:pPr>
              <w:widowControl/>
              <w:rPr>
                <w:rFonts w:eastAsia="仿宋"/>
                <w:sz w:val="18"/>
                <w:szCs w:val="18"/>
              </w:rPr>
            </w:pPr>
            <w:r>
              <w:rPr>
                <w:rFonts w:eastAsia="仿宋"/>
                <w:sz w:val="18"/>
                <w:szCs w:val="18"/>
              </w:rPr>
              <w:t>2.华为认证资深培训讲师（大数据高级技术专家，5年以上丰富的大数据相关技术开发与培训经验）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¥214,900.00</w:t>
            </w:r>
          </w:p>
        </w:tc>
      </w:tr>
      <w:tr>
        <w:tblPrEx>
          <w:tblCellMar>
            <w:top w:w="0" w:type="dxa"/>
            <w:left w:w="108" w:type="dxa"/>
            <w:bottom w:w="0" w:type="dxa"/>
            <w:right w:w="108" w:type="dxa"/>
          </w:tblCellMar>
        </w:tblPrEx>
        <w:trPr>
          <w:trHeight w:val="168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人工智能总裁培训班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定位于向企业高管、政府领导，高校领导，讲解人工智能行业趋势、商业应用与解决方案，以支持人工智能战略方向把握以及决策；</w:t>
            </w:r>
          </w:p>
          <w:p>
            <w:pPr>
              <w:widowControl/>
              <w:rPr>
                <w:rFonts w:eastAsia="仿宋"/>
                <w:sz w:val="18"/>
                <w:szCs w:val="18"/>
              </w:rPr>
            </w:pPr>
            <w:r>
              <w:rPr>
                <w:rFonts w:eastAsia="仿宋"/>
                <w:sz w:val="18"/>
                <w:szCs w:val="18"/>
              </w:rPr>
              <w:t>内容包括：</w:t>
            </w:r>
          </w:p>
          <w:p>
            <w:pPr>
              <w:widowControl/>
              <w:rPr>
                <w:rFonts w:eastAsia="仿宋"/>
                <w:sz w:val="18"/>
                <w:szCs w:val="18"/>
              </w:rPr>
            </w:pPr>
            <w:r>
              <w:rPr>
                <w:rFonts w:eastAsia="仿宋"/>
                <w:sz w:val="18"/>
                <w:szCs w:val="18"/>
              </w:rPr>
              <w:t>人工智能发展趋势，AI、5G、IoT、云计算、大数据介绍，大数据应用介绍及其商业应用及技术分析，人工智能概念及其历史/伦理问题，各经济体大数据、人工智能政策目标，国务院人工智能三步走规划，国内外各大企业在大数据和AI的战略部署，大数据实践应用，智慧交通、医疗、农业、制造，华为解决方案，大数据解决方案介绍及AI战略部署、生态体系。</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1.培训时长1天，15人以内</w:t>
            </w:r>
          </w:p>
          <w:p>
            <w:pPr>
              <w:widowControl/>
              <w:rPr>
                <w:rFonts w:eastAsia="仿宋"/>
                <w:sz w:val="18"/>
                <w:szCs w:val="18"/>
              </w:rPr>
            </w:pPr>
            <w:r>
              <w:rPr>
                <w:rFonts w:eastAsia="仿宋"/>
                <w:sz w:val="18"/>
                <w:szCs w:val="18"/>
              </w:rPr>
              <w:t>2.华为金牌讲师（人工智能资深专家，5年以上丰富的AI相关管理、开发、培训经验）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¥250,000.00 </w:t>
            </w:r>
          </w:p>
        </w:tc>
      </w:tr>
      <w:tr>
        <w:tblPrEx>
          <w:tblCellMar>
            <w:top w:w="0" w:type="dxa"/>
            <w:left w:w="108" w:type="dxa"/>
            <w:bottom w:w="0" w:type="dxa"/>
            <w:right w:w="108" w:type="dxa"/>
          </w:tblCellMar>
        </w:tblPrEx>
        <w:trPr>
          <w:trHeight w:val="168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3</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华为人工智能工程师培训班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定位于培养掌握与人工智能相关的基础知识，并能够基于开源TensorFlow框架或华为云一站式AI开发平台ModelArts进行编程、开发、设计华为云EI解决方案的工程师。</w:t>
            </w:r>
          </w:p>
          <w:p>
            <w:pPr>
              <w:widowControl/>
              <w:rPr>
                <w:rFonts w:eastAsia="仿宋"/>
                <w:sz w:val="18"/>
                <w:szCs w:val="18"/>
              </w:rPr>
            </w:pPr>
            <w:r>
              <w:rPr>
                <w:rFonts w:eastAsia="仿宋"/>
                <w:sz w:val="18"/>
                <w:szCs w:val="18"/>
              </w:rPr>
              <w:t>内容包括：</w:t>
            </w:r>
          </w:p>
          <w:p>
            <w:pPr>
              <w:widowControl/>
              <w:rPr>
                <w:rFonts w:eastAsia="仿宋"/>
                <w:sz w:val="18"/>
                <w:szCs w:val="18"/>
              </w:rPr>
            </w:pPr>
            <w:r>
              <w:rPr>
                <w:rFonts w:eastAsia="仿宋"/>
                <w:sz w:val="18"/>
                <w:szCs w:val="18"/>
              </w:rPr>
              <w:t>AI和华为EI概览、Python编程和实验、数学基础知识和实验、TensorFlow介绍和实验、深度学习预备知识和深度学习概览、图像识别、语音识别、机器翻译的应用实验。</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1.培训时长4天，20人以内</w:t>
            </w:r>
          </w:p>
          <w:p>
            <w:pPr>
              <w:widowControl/>
              <w:rPr>
                <w:rFonts w:eastAsia="仿宋"/>
                <w:sz w:val="18"/>
                <w:szCs w:val="18"/>
              </w:rPr>
            </w:pPr>
            <w:r>
              <w:rPr>
                <w:rFonts w:eastAsia="仿宋"/>
                <w:sz w:val="18"/>
                <w:szCs w:val="18"/>
              </w:rPr>
              <w:t>2.华为认证资深培训讲师（人工智能高级技术专家，5年以上丰富的AI相关技术开发与培训经验）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¥250,000.00 </w:t>
            </w:r>
          </w:p>
        </w:tc>
      </w:tr>
      <w:tr>
        <w:tblPrEx>
          <w:tblCellMar>
            <w:top w:w="0" w:type="dxa"/>
            <w:left w:w="108" w:type="dxa"/>
            <w:bottom w:w="0" w:type="dxa"/>
            <w:right w:w="108" w:type="dxa"/>
          </w:tblCellMar>
        </w:tblPrEx>
        <w:trPr>
          <w:trHeight w:val="168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4</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AI高校学科师资培训班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rPr>
                <w:rFonts w:eastAsia="仿宋"/>
                <w:sz w:val="18"/>
                <w:szCs w:val="18"/>
              </w:rPr>
            </w:pPr>
            <w:r>
              <w:rPr>
                <w:rFonts w:eastAsia="仿宋"/>
                <w:sz w:val="18"/>
                <w:szCs w:val="18"/>
              </w:rPr>
              <w:t>任选下列一个方向，提供5天华为高级讲师人工智能学科课程体系的教师培训服务。（杭州培训不高于16人，本地培训不高于40人）</w:t>
            </w:r>
          </w:p>
          <w:p>
            <w:pPr>
              <w:widowControl/>
              <w:numPr>
                <w:ilvl w:val="0"/>
                <w:numId w:val="1"/>
              </w:numPr>
              <w:rPr>
                <w:rFonts w:eastAsia="仿宋"/>
                <w:sz w:val="18"/>
                <w:szCs w:val="18"/>
              </w:rPr>
            </w:pPr>
            <w:r>
              <w:rPr>
                <w:rFonts w:eastAsia="仿宋"/>
                <w:sz w:val="18"/>
                <w:szCs w:val="18"/>
              </w:rPr>
              <w:t>l深度学习基础</w:t>
            </w:r>
          </w:p>
          <w:p>
            <w:pPr>
              <w:widowControl/>
              <w:numPr>
                <w:ilvl w:val="0"/>
                <w:numId w:val="1"/>
              </w:numPr>
              <w:rPr>
                <w:rFonts w:eastAsia="仿宋"/>
                <w:sz w:val="18"/>
                <w:szCs w:val="18"/>
              </w:rPr>
            </w:pPr>
            <w:r>
              <w:rPr>
                <w:rFonts w:eastAsia="仿宋"/>
                <w:sz w:val="18"/>
                <w:szCs w:val="18"/>
              </w:rPr>
              <w:t>l人工智能应用实践</w:t>
            </w:r>
          </w:p>
          <w:p>
            <w:pPr>
              <w:widowControl/>
              <w:numPr>
                <w:ilvl w:val="0"/>
                <w:numId w:val="1"/>
              </w:numPr>
              <w:autoSpaceDE w:val="0"/>
              <w:autoSpaceDN w:val="0"/>
              <w:adjustRightInd w:val="0"/>
              <w:spacing w:line="360" w:lineRule="auto"/>
              <w:jc w:val="left"/>
              <w:rPr>
                <w:rFonts w:eastAsia="仿宋"/>
                <w:kern w:val="0"/>
                <w:sz w:val="18"/>
                <w:szCs w:val="18"/>
              </w:rPr>
            </w:pPr>
            <w:r>
              <w:rPr>
                <w:rFonts w:eastAsia="仿宋"/>
                <w:kern w:val="0"/>
                <w:sz w:val="18"/>
                <w:szCs w:val="18"/>
              </w:rPr>
              <w:t>l大数据基础与应用</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¥256,180.00</w:t>
            </w:r>
          </w:p>
        </w:tc>
      </w:tr>
      <w:tr>
        <w:tblPrEx>
          <w:tblCellMar>
            <w:top w:w="0" w:type="dxa"/>
            <w:left w:w="108" w:type="dxa"/>
            <w:bottom w:w="0" w:type="dxa"/>
            <w:right w:w="108" w:type="dxa"/>
          </w:tblCellMar>
        </w:tblPrEx>
        <w:trPr>
          <w:trHeight w:val="168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5</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华为云大数据高级工程师培训班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面向系统性理解大数据架构、技术原理，熟练掌握华为云大数据平台MRS服务方案的工程师。</w:t>
            </w:r>
          </w:p>
          <w:p>
            <w:pPr>
              <w:widowControl/>
              <w:rPr>
                <w:rFonts w:eastAsia="仿宋"/>
                <w:sz w:val="18"/>
                <w:szCs w:val="18"/>
              </w:rPr>
            </w:pPr>
            <w:r>
              <w:rPr>
                <w:rFonts w:eastAsia="仿宋"/>
                <w:sz w:val="18"/>
                <w:szCs w:val="18"/>
              </w:rPr>
              <w:t>内容包括：深入讲解华为云大数据产品MRS、DLI、CSS等产品知识与特性，如何使用华为云大数据的开发总指导、大数据场景化解决方案离线批处理、实时检索、实时流处理、批流合一计算平台等。</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1.培训时长5天，20人以内</w:t>
            </w:r>
          </w:p>
          <w:p>
            <w:pPr>
              <w:widowControl/>
              <w:rPr>
                <w:rFonts w:eastAsia="仿宋"/>
                <w:sz w:val="18"/>
                <w:szCs w:val="18"/>
              </w:rPr>
            </w:pPr>
            <w:r>
              <w:rPr>
                <w:rFonts w:eastAsia="仿宋"/>
                <w:sz w:val="18"/>
                <w:szCs w:val="18"/>
              </w:rPr>
              <w:t>2.华为认证资深培训讲师（大数据高级技术专家，5年以上丰富的大数据相关技术开发与培训经验）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¥256,180.00</w:t>
            </w:r>
          </w:p>
        </w:tc>
      </w:tr>
      <w:tr>
        <w:tblPrEx>
          <w:tblCellMar>
            <w:top w:w="0" w:type="dxa"/>
            <w:left w:w="108" w:type="dxa"/>
            <w:bottom w:w="0" w:type="dxa"/>
            <w:right w:w="108" w:type="dxa"/>
          </w:tblCellMar>
        </w:tblPrEx>
        <w:trPr>
          <w:trHeight w:val="168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6</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华为云数据仓库高级工程师培训班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定位于数据库工程师、架构师、DBA、信息技术主管等掌握分布式数据库知识技能里，理解华为GaussDB数据仓库的原理和应用实践。</w:t>
            </w:r>
          </w:p>
          <w:p>
            <w:pPr>
              <w:widowControl/>
              <w:rPr>
                <w:rFonts w:eastAsia="仿宋"/>
                <w:sz w:val="18"/>
                <w:szCs w:val="18"/>
              </w:rPr>
            </w:pPr>
            <w:r>
              <w:rPr>
                <w:rFonts w:eastAsia="仿宋"/>
                <w:sz w:val="18"/>
                <w:szCs w:val="18"/>
              </w:rPr>
              <w:t>内容包括：GaussDB(DWS)产品架构、部署模式、关键特性及技术指标、掌握SQL高级语法、分布式执行框架、数据库设计与管理、数据库安全管理、数据库集群管理、数据库迁移知识及数据库的高级特性</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1.培训时长5天，20人以内</w:t>
            </w:r>
          </w:p>
          <w:p>
            <w:pPr>
              <w:widowControl/>
              <w:rPr>
                <w:rFonts w:eastAsia="仿宋"/>
                <w:sz w:val="18"/>
                <w:szCs w:val="18"/>
              </w:rPr>
            </w:pPr>
            <w:r>
              <w:rPr>
                <w:rFonts w:eastAsia="仿宋"/>
                <w:sz w:val="18"/>
                <w:szCs w:val="18"/>
              </w:rPr>
              <w:t>2.华为认证资深培训讲师（GaussDB高级技术专家，5年以上丰富的数据库相关技术开发与培训经验）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¥256,180.00</w:t>
            </w:r>
          </w:p>
        </w:tc>
      </w:tr>
      <w:tr>
        <w:tblPrEx>
          <w:tblCellMar>
            <w:top w:w="0" w:type="dxa"/>
            <w:left w:w="108" w:type="dxa"/>
            <w:bottom w:w="0" w:type="dxa"/>
            <w:right w:w="108" w:type="dxa"/>
          </w:tblCellMar>
        </w:tblPrEx>
        <w:trPr>
          <w:trHeight w:val="192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7</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华为企业人工智能开发者培训班</w:t>
            </w:r>
          </w:p>
        </w:tc>
        <w:tc>
          <w:tcPr>
            <w:tcW w:w="4904"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定位于培养具有图像处理、语音处理、自然语言处理等基础理论知识，能够应用华为云EI等华为企业AI解决方案、通用开源框架、面向AI开发者的一站式开发平台ModelArts进行开发和创新的专业人才。</w:t>
            </w:r>
          </w:p>
          <w:p>
            <w:pPr>
              <w:widowControl/>
              <w:rPr>
                <w:rFonts w:eastAsia="仿宋"/>
                <w:sz w:val="18"/>
                <w:szCs w:val="18"/>
              </w:rPr>
            </w:pPr>
            <w:r>
              <w:rPr>
                <w:rFonts w:eastAsia="仿宋"/>
                <w:sz w:val="18"/>
                <w:szCs w:val="18"/>
              </w:rPr>
              <w:t>内容包括：神经网络基础、图像处理理论和应用、语音处理理论和应用、自然语言处理理论和应用、ModelArts概览、图像处理实验、语音处理实验、自然语言处理实验、ModelArts平台开发实验。ModelArts是面向AI开发者的一站式开发平台，提供海量数据预处理及半自动化标注、大规模分布式训练、自动化模型生成，及端-边-云模型按需部署能力，帮助用户快速创建和部署模型，管理全周期AI工作流。</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1.培训时长4天，20人以内</w:t>
            </w:r>
          </w:p>
          <w:p>
            <w:pPr>
              <w:widowControl/>
              <w:rPr>
                <w:rFonts w:eastAsia="仿宋"/>
                <w:sz w:val="18"/>
                <w:szCs w:val="18"/>
              </w:rPr>
            </w:pPr>
            <w:r>
              <w:rPr>
                <w:rFonts w:eastAsia="仿宋"/>
                <w:sz w:val="18"/>
                <w:szCs w:val="18"/>
              </w:rPr>
              <w:t>2.华为认证资深培训讲师（华为人工智能高级技术专家，5年以上丰富的AI相关技术开发与培训经验）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¥300,000.00 </w:t>
            </w:r>
          </w:p>
        </w:tc>
      </w:tr>
      <w:tr>
        <w:tblPrEx>
          <w:tblCellMar>
            <w:top w:w="0" w:type="dxa"/>
            <w:left w:w="108" w:type="dxa"/>
            <w:bottom w:w="0" w:type="dxa"/>
            <w:right w:w="108" w:type="dxa"/>
          </w:tblCellMar>
        </w:tblPrEx>
        <w:trPr>
          <w:trHeight w:val="1920"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8</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人工智能专家培训班</w:t>
            </w:r>
          </w:p>
        </w:tc>
        <w:tc>
          <w:tcPr>
            <w:tcW w:w="4904"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定位于培养熟练掌握机器学习、深度学习理论知识，具备在业务领域中融入人工智能技术的专家.</w:t>
            </w:r>
          </w:p>
          <w:p>
            <w:pPr>
              <w:widowControl/>
              <w:rPr>
                <w:rFonts w:eastAsia="仿宋"/>
                <w:sz w:val="18"/>
                <w:szCs w:val="18"/>
              </w:rPr>
            </w:pPr>
            <w:r>
              <w:rPr>
                <w:rFonts w:eastAsia="仿宋"/>
                <w:sz w:val="18"/>
                <w:szCs w:val="18"/>
              </w:rPr>
              <w:t>内容包括：</w:t>
            </w:r>
          </w:p>
          <w:p>
            <w:pPr>
              <w:widowControl/>
              <w:rPr>
                <w:rFonts w:eastAsia="仿宋"/>
                <w:sz w:val="18"/>
                <w:szCs w:val="18"/>
              </w:rPr>
            </w:pPr>
            <w:r>
              <w:rPr>
                <w:rFonts w:eastAsia="仿宋"/>
                <w:sz w:val="18"/>
                <w:szCs w:val="18"/>
              </w:rPr>
              <w:t>人工智能、大数据基础知识，大数据思维，掌握机器学习、深度学习开发流程，通过案例探讨环节，引导参培学员进行业务分析，掌握使用大数据/AI技术分析、解决问题的能力</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1.培训时长3天，20人以内</w:t>
            </w:r>
          </w:p>
          <w:p>
            <w:pPr>
              <w:widowControl/>
              <w:rPr>
                <w:rFonts w:eastAsia="仿宋"/>
                <w:sz w:val="18"/>
                <w:szCs w:val="18"/>
              </w:rPr>
            </w:pPr>
            <w:r>
              <w:rPr>
                <w:rFonts w:eastAsia="仿宋"/>
                <w:sz w:val="18"/>
                <w:szCs w:val="18"/>
              </w:rPr>
              <w:t>2.华为金牌讲师（人工智能高级技术专家，5年以上丰富的AI相关技术开发与培训经验）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 xml:space="preserve">¥350,000.00 </w:t>
            </w:r>
          </w:p>
        </w:tc>
      </w:tr>
      <w:tr>
        <w:tblPrEx>
          <w:tblCellMar>
            <w:top w:w="0" w:type="dxa"/>
            <w:left w:w="108" w:type="dxa"/>
            <w:bottom w:w="0" w:type="dxa"/>
            <w:right w:w="108" w:type="dxa"/>
          </w:tblCellMar>
        </w:tblPrEx>
        <w:trPr>
          <w:trHeight w:val="2699" w:hRule="atLeast"/>
        </w:trPr>
        <w:tc>
          <w:tcPr>
            <w:tcW w:w="837"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9</w:t>
            </w:r>
          </w:p>
        </w:tc>
        <w:tc>
          <w:tcPr>
            <w:tcW w:w="732"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HiLens专家培训班</w:t>
            </w:r>
          </w:p>
        </w:tc>
        <w:tc>
          <w:tcPr>
            <w:tcW w:w="4904"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定位于培养掌握HiLens最前沿知识技能，具备使用HiLens产品进行研发及商业落地的高级算法工程师和架构师。</w:t>
            </w:r>
          </w:p>
          <w:p>
            <w:pPr>
              <w:widowControl/>
              <w:rPr>
                <w:rFonts w:eastAsia="仿宋"/>
                <w:sz w:val="18"/>
                <w:szCs w:val="18"/>
              </w:rPr>
            </w:pPr>
            <w:r>
              <w:rPr>
                <w:rFonts w:eastAsia="仿宋"/>
                <w:sz w:val="18"/>
                <w:szCs w:val="18"/>
              </w:rPr>
              <w:t>内容包括：华为云HiLens服务及能力介绍，掌握HiLens开发流程中各个重要环节，包括模型训练，模型转换，模型推理部署，商业落地</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1.培训时长3天，20人以内</w:t>
            </w:r>
          </w:p>
          <w:p>
            <w:pPr>
              <w:widowControl/>
              <w:rPr>
                <w:rFonts w:eastAsia="仿宋"/>
                <w:sz w:val="18"/>
                <w:szCs w:val="18"/>
              </w:rPr>
            </w:pPr>
            <w:r>
              <w:rPr>
                <w:rFonts w:eastAsia="仿宋"/>
                <w:sz w:val="18"/>
                <w:szCs w:val="18"/>
              </w:rPr>
              <w:t>2.华为金牌讲师（人工智能高级技术专家，5年以上丰富的AI相关技术开发与培训经验）</w:t>
            </w:r>
          </w:p>
          <w:p>
            <w:pPr>
              <w:widowControl/>
              <w:rPr>
                <w:rFonts w:eastAsia="仿宋"/>
                <w:sz w:val="18"/>
                <w:szCs w:val="18"/>
              </w:rPr>
            </w:pPr>
            <w:r>
              <w:rPr>
                <w:rFonts w:eastAsia="仿宋"/>
                <w:sz w:val="18"/>
                <w:szCs w:val="18"/>
              </w:rPr>
              <w:t>3.培训后3个月内本地团队咨询服务</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535"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¥350,000.00</w:t>
            </w:r>
          </w:p>
        </w:tc>
      </w:tr>
    </w:tbl>
    <w:p>
      <w:pPr>
        <w:rPr>
          <w:szCs w:val="21"/>
        </w:rPr>
      </w:pPr>
    </w:p>
    <w:tbl>
      <w:tblPr>
        <w:tblStyle w:val="4"/>
        <w:tblW w:w="9273" w:type="dxa"/>
        <w:tblInd w:w="5" w:type="dxa"/>
        <w:tblLayout w:type="fixed"/>
        <w:tblCellMar>
          <w:top w:w="0" w:type="dxa"/>
          <w:left w:w="108" w:type="dxa"/>
          <w:bottom w:w="0" w:type="dxa"/>
          <w:right w:w="108" w:type="dxa"/>
        </w:tblCellMar>
      </w:tblPr>
      <w:tblGrid>
        <w:gridCol w:w="989"/>
        <w:gridCol w:w="556"/>
        <w:gridCol w:w="708"/>
        <w:gridCol w:w="4896"/>
        <w:gridCol w:w="828"/>
        <w:gridCol w:w="1296"/>
      </w:tblGrid>
      <w:tr>
        <w:tblPrEx>
          <w:tblCellMar>
            <w:top w:w="0" w:type="dxa"/>
            <w:left w:w="108" w:type="dxa"/>
            <w:bottom w:w="0" w:type="dxa"/>
            <w:right w:w="108" w:type="dxa"/>
          </w:tblCellMar>
        </w:tblPrEx>
        <w:trPr>
          <w:trHeight w:val="1262" w:hRule="atLeast"/>
        </w:trPr>
        <w:tc>
          <w:tcPr>
            <w:tcW w:w="989"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仿宋"/>
                <w:sz w:val="18"/>
                <w:szCs w:val="18"/>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10</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华为人工智能工程师认证班</w:t>
            </w:r>
          </w:p>
        </w:tc>
        <w:tc>
          <w:tcPr>
            <w:tcW w:w="4896" w:type="dxa"/>
            <w:tcBorders>
              <w:top w:val="single" w:color="auto" w:sz="4" w:space="0"/>
              <w:left w:val="nil"/>
              <w:bottom w:val="single" w:color="auto" w:sz="4" w:space="0"/>
              <w:right w:val="single" w:color="auto" w:sz="4" w:space="0"/>
            </w:tcBorders>
            <w:shd w:val="clear" w:color="auto" w:fill="auto"/>
            <w:vAlign w:val="center"/>
          </w:tcPr>
          <w:p>
            <w:pPr>
              <w:rPr>
                <w:rFonts w:eastAsia="仿宋"/>
                <w:sz w:val="18"/>
                <w:szCs w:val="18"/>
              </w:rPr>
            </w:pPr>
            <w:r>
              <w:rPr>
                <w:rFonts w:eastAsia="仿宋"/>
                <w:sz w:val="18"/>
                <w:szCs w:val="18"/>
              </w:rPr>
              <w:t>HCIA-AI认证定位于人工智能的普及、深度学习的了解、基于开源TensorFlow框架进行编程之基础能力的构建和华为云EI的学习，旨在推动ICT行业人工智能人才的培养。</w:t>
            </w:r>
            <w:r>
              <w:rPr>
                <w:rFonts w:eastAsia="仿宋"/>
                <w:sz w:val="18"/>
                <w:szCs w:val="18"/>
              </w:rPr>
              <w:br w:type="textWrapping"/>
            </w:r>
            <w:r>
              <w:rPr>
                <w:rFonts w:eastAsia="仿宋"/>
                <w:sz w:val="18"/>
                <w:szCs w:val="18"/>
              </w:rPr>
              <w:t>HCIA-AI认证包括但不限于：AI概览、Python编程和实验、数学基础知识和实验、TensorFlow介绍和实验、深度学习预备知识和深度学习概览、华为云EI概览，图像识别、语音识别、人机对话的应用实验。</w:t>
            </w:r>
            <w:r>
              <w:rPr>
                <w:rFonts w:eastAsia="仿宋"/>
                <w:sz w:val="18"/>
                <w:szCs w:val="18"/>
              </w:rPr>
              <w:br w:type="textWrapping"/>
            </w:r>
            <w:r>
              <w:rPr>
                <w:rFonts w:eastAsia="仿宋"/>
                <w:sz w:val="18"/>
                <w:szCs w:val="18"/>
              </w:rPr>
              <w:t>拥有HCIA-AI 认证的工程师，企业掌握了人工智能技术基础原理、架构和编程等知识，具备运用人工智能技术、机器学习技术、深度学习技术和开源 TensorFlow 框架进行机器学习、图像识别、语音识别和人机对话等人工智能产品和人工智能解决方案设计、开发的必备能力。</w:t>
            </w:r>
          </w:p>
          <w:p>
            <w:pPr>
              <w:widowControl/>
              <w:rPr>
                <w:rFonts w:eastAsia="仿宋"/>
                <w:b/>
                <w:sz w:val="18"/>
                <w:szCs w:val="18"/>
              </w:rPr>
            </w:pPr>
            <w:r>
              <w:rPr>
                <w:rFonts w:eastAsia="仿宋"/>
                <w:b/>
                <w:sz w:val="18"/>
                <w:szCs w:val="18"/>
              </w:rPr>
              <w:t>具体服务标准为：</w:t>
            </w:r>
          </w:p>
          <w:p>
            <w:pPr>
              <w:rPr>
                <w:rFonts w:eastAsia="仿宋"/>
                <w:sz w:val="18"/>
                <w:szCs w:val="18"/>
              </w:rPr>
            </w:pPr>
            <w:r>
              <w:rPr>
                <w:rFonts w:eastAsia="仿宋"/>
                <w:sz w:val="18"/>
                <w:szCs w:val="18"/>
              </w:rPr>
              <w:t>1.培训时长5天，25人以内</w:t>
            </w:r>
          </w:p>
          <w:p>
            <w:pPr>
              <w:rPr>
                <w:rFonts w:eastAsia="仿宋"/>
                <w:sz w:val="18"/>
                <w:szCs w:val="18"/>
              </w:rPr>
            </w:pPr>
            <w:r>
              <w:rPr>
                <w:rFonts w:eastAsia="仿宋"/>
                <w:sz w:val="18"/>
                <w:szCs w:val="18"/>
              </w:rPr>
              <w:t>2.资深培训讲师（华为人工智能高级技术专家，5年以上丰富的AI相关技术开发与培训经验）</w:t>
            </w:r>
          </w:p>
          <w:p>
            <w:pPr>
              <w:rPr>
                <w:rFonts w:eastAsia="仿宋"/>
                <w:sz w:val="18"/>
                <w:szCs w:val="18"/>
              </w:rPr>
            </w:pPr>
            <w:r>
              <w:rPr>
                <w:rFonts w:eastAsia="仿宋"/>
                <w:sz w:val="18"/>
                <w:szCs w:val="18"/>
              </w:rPr>
              <w:t>3.通过华为人工智能认证测试（若未通过测试，可免费参加下一期培训，第二次考试费需自付）</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ind w:right="180"/>
              <w:jc w:val="right"/>
              <w:rPr>
                <w:rFonts w:eastAsia="仿宋"/>
                <w:sz w:val="18"/>
                <w:szCs w:val="18"/>
              </w:rPr>
            </w:pPr>
            <w:r>
              <w:rPr>
                <w:rFonts w:eastAsia="仿宋"/>
                <w:sz w:val="18"/>
                <w:szCs w:val="18"/>
              </w:rPr>
              <w:t>元/班/次</w:t>
            </w:r>
          </w:p>
        </w:tc>
        <w:tc>
          <w:tcPr>
            <w:tcW w:w="1296" w:type="dxa"/>
            <w:tcBorders>
              <w:top w:val="single" w:color="auto" w:sz="4" w:space="0"/>
              <w:left w:val="nil"/>
              <w:bottom w:val="single" w:color="auto" w:sz="4" w:space="0"/>
              <w:right w:val="single" w:color="auto" w:sz="4" w:space="0"/>
            </w:tcBorders>
            <w:shd w:val="clear" w:color="auto" w:fill="auto"/>
            <w:vAlign w:val="center"/>
          </w:tcPr>
          <w:p>
            <w:pPr>
              <w:jc w:val="center"/>
              <w:rPr>
                <w:rFonts w:eastAsia="仿宋"/>
                <w:sz w:val="18"/>
                <w:szCs w:val="18"/>
              </w:rPr>
            </w:pPr>
            <w:r>
              <w:rPr>
                <w:rFonts w:eastAsia="仿宋"/>
                <w:sz w:val="18"/>
                <w:szCs w:val="18"/>
              </w:rPr>
              <w:t xml:space="preserve">750,000 </w:t>
            </w:r>
          </w:p>
        </w:tc>
      </w:tr>
      <w:tr>
        <w:tblPrEx>
          <w:tblCellMar>
            <w:top w:w="0" w:type="dxa"/>
            <w:left w:w="108" w:type="dxa"/>
            <w:bottom w:w="0" w:type="dxa"/>
            <w:right w:w="108" w:type="dxa"/>
          </w:tblCellMar>
        </w:tblPrEx>
        <w:trPr>
          <w:trHeight w:val="1262" w:hRule="atLeast"/>
        </w:trPr>
        <w:tc>
          <w:tcPr>
            <w:tcW w:w="989"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11</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
                <w:sz w:val="18"/>
                <w:szCs w:val="18"/>
              </w:rPr>
            </w:pPr>
            <w:r>
              <w:rPr>
                <w:rFonts w:eastAsia="仿宋"/>
                <w:sz w:val="18"/>
                <w:szCs w:val="18"/>
              </w:rPr>
              <w:t>华为企业AI开发者认证班</w:t>
            </w:r>
          </w:p>
        </w:tc>
        <w:tc>
          <w:tcPr>
            <w:tcW w:w="4896" w:type="dxa"/>
            <w:tcBorders>
              <w:top w:val="nil"/>
              <w:left w:val="nil"/>
              <w:bottom w:val="single" w:color="auto" w:sz="4" w:space="0"/>
              <w:right w:val="single" w:color="auto" w:sz="4" w:space="0"/>
            </w:tcBorders>
            <w:shd w:val="clear" w:color="auto" w:fill="auto"/>
            <w:vAlign w:val="center"/>
          </w:tcPr>
          <w:p>
            <w:pPr>
              <w:rPr>
                <w:rFonts w:eastAsia="仿宋"/>
                <w:sz w:val="18"/>
                <w:szCs w:val="18"/>
              </w:rPr>
            </w:pPr>
            <w:r>
              <w:rPr>
                <w:rFonts w:eastAsia="仿宋"/>
                <w:sz w:val="18"/>
                <w:szCs w:val="18"/>
              </w:rPr>
              <w:t>HCIP-AI EI Developer认证定位于培养具有图像处理、语音处理和自然语言处理基础理论知识并能应用华为云EI等华为企业AI解决方案和通用开源框架进行开发、创新的专业人才。</w:t>
            </w:r>
            <w:r>
              <w:rPr>
                <w:rFonts w:eastAsia="仿宋"/>
                <w:sz w:val="18"/>
                <w:szCs w:val="18"/>
              </w:rPr>
              <w:br w:type="textWrapping"/>
            </w:r>
            <w:r>
              <w:rPr>
                <w:rFonts w:eastAsia="仿宋"/>
                <w:sz w:val="18"/>
                <w:szCs w:val="18"/>
              </w:rPr>
              <w:t>HCIP-AI EI Developer认证包括深度前馈网络、图像处理理论和应用、语音处理理论和应用、自然语言处理理论和应用、图像处理实验、语音处理实验、自然语言处理实验。</w:t>
            </w:r>
            <w:r>
              <w:rPr>
                <w:rFonts w:eastAsia="仿宋"/>
                <w:sz w:val="18"/>
                <w:szCs w:val="18"/>
              </w:rPr>
              <w:br w:type="textWrapping"/>
            </w:r>
            <w:r>
              <w:rPr>
                <w:rFonts w:eastAsia="仿宋"/>
                <w:sz w:val="18"/>
                <w:szCs w:val="18"/>
              </w:rPr>
              <w:t>企业拥有HCIP-AI EI Developer认证的工程师，意味着企业掌握了图像处理、语音处理、自然语言处理、华为云EI等华为企业AI解决方案和通用AI开源框架的基础原理、架构和应用开发的知识，具备了运用图像处理技术、语音处理技术、自然语言处理技术和华为云EI等华为AI解决方案平台和通用AI开源框架进行图像处理、语音处理和自然语言处理等企业人工智能产品和人工智能解决方案设计、开发的必备能力。</w:t>
            </w:r>
          </w:p>
          <w:p>
            <w:pPr>
              <w:widowControl/>
              <w:rPr>
                <w:rFonts w:eastAsia="仿宋"/>
                <w:b/>
                <w:sz w:val="18"/>
                <w:szCs w:val="18"/>
              </w:rPr>
            </w:pPr>
            <w:r>
              <w:rPr>
                <w:rFonts w:eastAsia="仿宋"/>
                <w:b/>
                <w:sz w:val="18"/>
                <w:szCs w:val="18"/>
              </w:rPr>
              <w:t>具体服务标准为：</w:t>
            </w:r>
          </w:p>
          <w:p>
            <w:pPr>
              <w:rPr>
                <w:rFonts w:eastAsia="仿宋"/>
                <w:sz w:val="18"/>
                <w:szCs w:val="18"/>
              </w:rPr>
            </w:pPr>
            <w:r>
              <w:rPr>
                <w:rFonts w:eastAsia="仿宋"/>
                <w:sz w:val="18"/>
                <w:szCs w:val="18"/>
              </w:rPr>
              <w:t>1.培训时长5天，25人以内</w:t>
            </w:r>
          </w:p>
          <w:p>
            <w:pPr>
              <w:rPr>
                <w:rFonts w:eastAsia="仿宋"/>
                <w:sz w:val="18"/>
                <w:szCs w:val="18"/>
              </w:rPr>
            </w:pPr>
            <w:r>
              <w:rPr>
                <w:rFonts w:eastAsia="仿宋"/>
                <w:sz w:val="18"/>
                <w:szCs w:val="18"/>
              </w:rPr>
              <w:t>2.资深培训讲师（华为人工智能高级技术专家，5年以上丰富的AI相关技术开发与培训经验）</w:t>
            </w:r>
          </w:p>
          <w:p>
            <w:pPr>
              <w:rPr>
                <w:rFonts w:eastAsia="仿宋"/>
                <w:sz w:val="18"/>
                <w:szCs w:val="18"/>
              </w:rPr>
            </w:pPr>
            <w:r>
              <w:rPr>
                <w:rFonts w:eastAsia="仿宋"/>
                <w:sz w:val="18"/>
                <w:szCs w:val="18"/>
              </w:rPr>
              <w:t>3.通过华为人工智能认证测试（若未通过测试，可免费参加下一期培训，第二次考试费需自付）</w:t>
            </w:r>
          </w:p>
        </w:tc>
        <w:tc>
          <w:tcPr>
            <w:tcW w:w="828"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296" w:type="dxa"/>
            <w:tcBorders>
              <w:top w:val="nil"/>
              <w:left w:val="nil"/>
              <w:bottom w:val="single" w:color="auto" w:sz="4" w:space="0"/>
              <w:right w:val="single" w:color="auto" w:sz="4" w:space="0"/>
            </w:tcBorders>
            <w:shd w:val="clear" w:color="auto" w:fill="auto"/>
            <w:vAlign w:val="center"/>
          </w:tcPr>
          <w:p>
            <w:pPr>
              <w:jc w:val="center"/>
              <w:rPr>
                <w:rFonts w:eastAsia="仿宋"/>
                <w:sz w:val="18"/>
                <w:szCs w:val="18"/>
              </w:rPr>
            </w:pPr>
            <w:r>
              <w:rPr>
                <w:rFonts w:eastAsia="仿宋"/>
                <w:sz w:val="18"/>
                <w:szCs w:val="18"/>
              </w:rPr>
              <w:t xml:space="preserve">750,000 </w:t>
            </w:r>
          </w:p>
        </w:tc>
      </w:tr>
      <w:tr>
        <w:tblPrEx>
          <w:tblCellMar>
            <w:top w:w="0" w:type="dxa"/>
            <w:left w:w="108" w:type="dxa"/>
            <w:bottom w:w="0" w:type="dxa"/>
            <w:right w:w="108" w:type="dxa"/>
          </w:tblCellMar>
        </w:tblPrEx>
        <w:trPr>
          <w:trHeight w:val="1262" w:hRule="atLeast"/>
        </w:trPr>
        <w:tc>
          <w:tcPr>
            <w:tcW w:w="989"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12</w:t>
            </w:r>
          </w:p>
        </w:tc>
        <w:tc>
          <w:tcPr>
            <w:tcW w:w="708" w:type="dxa"/>
            <w:tcBorders>
              <w:top w:val="single" w:color="auto" w:sz="4" w:space="0"/>
              <w:left w:val="nil"/>
              <w:bottom w:val="single" w:color="auto" w:sz="4" w:space="0"/>
              <w:right w:val="single" w:color="auto" w:sz="4" w:space="0"/>
            </w:tcBorders>
            <w:shd w:val="clear" w:color="auto" w:fill="auto"/>
            <w:vAlign w:val="center"/>
          </w:tcPr>
          <w:p>
            <w:pPr>
              <w:rPr>
                <w:rFonts w:eastAsia="仿宋"/>
                <w:sz w:val="18"/>
                <w:szCs w:val="18"/>
              </w:rPr>
            </w:pPr>
            <w:r>
              <w:rPr>
                <w:rFonts w:eastAsia="仿宋"/>
                <w:sz w:val="18"/>
                <w:szCs w:val="18"/>
              </w:rPr>
              <w:t>华为终端AI开发者认证班（HCIP-AI HiAI Developer）</w:t>
            </w:r>
          </w:p>
        </w:tc>
        <w:tc>
          <w:tcPr>
            <w:tcW w:w="4896" w:type="dxa"/>
            <w:tcBorders>
              <w:top w:val="nil"/>
              <w:left w:val="nil"/>
              <w:bottom w:val="single" w:color="auto" w:sz="4" w:space="0"/>
              <w:right w:val="single" w:color="auto" w:sz="4" w:space="0"/>
            </w:tcBorders>
            <w:shd w:val="clear" w:color="auto" w:fill="auto"/>
            <w:vAlign w:val="center"/>
          </w:tcPr>
          <w:p>
            <w:pPr>
              <w:rPr>
                <w:rFonts w:eastAsia="仿宋"/>
                <w:sz w:val="18"/>
                <w:szCs w:val="18"/>
              </w:rPr>
            </w:pPr>
            <w:r>
              <w:rPr>
                <w:rFonts w:eastAsia="仿宋"/>
                <w:sz w:val="18"/>
                <w:szCs w:val="18"/>
              </w:rPr>
              <w:t>HCIP-AI HiAI Developer认证定位于培养具有计算机视觉、自动语音识别和自然语言理解基础理论知识并能应用华为端芯云结合的三层开放移动计算平台HiAI进行开发、创新的专业人才（例如：具备开发AI APP能力的专业人才）。</w:t>
            </w:r>
            <w:r>
              <w:rPr>
                <w:rFonts w:eastAsia="仿宋"/>
                <w:sz w:val="18"/>
                <w:szCs w:val="18"/>
              </w:rPr>
              <w:br w:type="textWrapping"/>
            </w:r>
            <w:r>
              <w:rPr>
                <w:rFonts w:eastAsia="仿宋"/>
                <w:sz w:val="18"/>
                <w:szCs w:val="18"/>
              </w:rPr>
              <w:t>HCIP-AI HiAI Developer认证包括深度前馈网络、计算机视觉理论和应用、自动语音识别理论和应用、自然语言理解理论和应用、HiAI平台概览、HiAI Foundation应用开发、HiAI Engine应用开发、HiAI Service应用开发。</w:t>
            </w:r>
            <w:r>
              <w:rPr>
                <w:rFonts w:eastAsia="仿宋"/>
                <w:sz w:val="18"/>
                <w:szCs w:val="18"/>
              </w:rPr>
              <w:br w:type="textWrapping"/>
            </w:r>
            <w:r>
              <w:rPr>
                <w:rFonts w:eastAsia="仿宋"/>
                <w:sz w:val="18"/>
                <w:szCs w:val="18"/>
              </w:rPr>
              <w:t>企业拥有HCIP-AI HiAI Developer认证的工程师，意味着企业掌握了计算机视觉、自动语音识别、自然语言理解、华为端芯云结合的三层开放移动计算平台HiAI的基础原理、架构和应用开发的知识，具备了运用计算机视觉技术、自动语音识别技术、自然语言理解技术和HiAI移动计算平台进行AI APP、计算机视觉、自动语音识别和自然语言理解等终端人工智能产品和人工智能解决方案设计、开发的必备能力。</w:t>
            </w:r>
          </w:p>
          <w:p>
            <w:pPr>
              <w:rPr>
                <w:rFonts w:eastAsia="仿宋"/>
                <w:b/>
                <w:sz w:val="18"/>
                <w:szCs w:val="18"/>
              </w:rPr>
            </w:pPr>
            <w:r>
              <w:rPr>
                <w:rFonts w:eastAsia="仿宋"/>
                <w:b/>
                <w:sz w:val="18"/>
                <w:szCs w:val="18"/>
              </w:rPr>
              <w:t>具体服务标准为：</w:t>
            </w:r>
          </w:p>
          <w:p>
            <w:pPr>
              <w:rPr>
                <w:rFonts w:eastAsia="仿宋"/>
                <w:sz w:val="18"/>
                <w:szCs w:val="18"/>
              </w:rPr>
            </w:pPr>
            <w:r>
              <w:rPr>
                <w:rFonts w:eastAsia="仿宋"/>
                <w:sz w:val="18"/>
                <w:szCs w:val="18"/>
              </w:rPr>
              <w:t>1.培训时长5天，25人以内</w:t>
            </w:r>
          </w:p>
          <w:p>
            <w:pPr>
              <w:rPr>
                <w:rFonts w:eastAsia="仿宋"/>
                <w:sz w:val="18"/>
                <w:szCs w:val="18"/>
              </w:rPr>
            </w:pPr>
            <w:r>
              <w:rPr>
                <w:rFonts w:eastAsia="仿宋"/>
                <w:sz w:val="18"/>
                <w:szCs w:val="18"/>
              </w:rPr>
              <w:t>2.资深培训讲师（华为人工智能高级技术专家，5年以上丰富的AI相关技术开发与培训经验）</w:t>
            </w:r>
          </w:p>
          <w:p>
            <w:pPr>
              <w:rPr>
                <w:rFonts w:eastAsia="仿宋"/>
                <w:sz w:val="18"/>
                <w:szCs w:val="18"/>
              </w:rPr>
            </w:pPr>
            <w:r>
              <w:rPr>
                <w:rFonts w:eastAsia="仿宋"/>
                <w:sz w:val="18"/>
                <w:szCs w:val="18"/>
              </w:rPr>
              <w:t>3.通过华为人工智能认证测试（若未通过测试，可免费参加下一期培训，第二次考试费需自付）</w:t>
            </w:r>
          </w:p>
        </w:tc>
        <w:tc>
          <w:tcPr>
            <w:tcW w:w="828"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元/班/次</w:t>
            </w:r>
          </w:p>
        </w:tc>
        <w:tc>
          <w:tcPr>
            <w:tcW w:w="1296" w:type="dxa"/>
            <w:tcBorders>
              <w:top w:val="nil"/>
              <w:left w:val="nil"/>
              <w:bottom w:val="single" w:color="auto" w:sz="4" w:space="0"/>
              <w:right w:val="single" w:color="auto" w:sz="4" w:space="0"/>
            </w:tcBorders>
            <w:shd w:val="clear" w:color="auto" w:fill="auto"/>
            <w:vAlign w:val="center"/>
          </w:tcPr>
          <w:p>
            <w:pPr>
              <w:jc w:val="center"/>
              <w:rPr>
                <w:rFonts w:eastAsia="仿宋"/>
                <w:sz w:val="18"/>
                <w:szCs w:val="18"/>
              </w:rPr>
            </w:pPr>
            <w:r>
              <w:rPr>
                <w:rFonts w:eastAsia="仿宋"/>
                <w:sz w:val="18"/>
                <w:szCs w:val="18"/>
              </w:rPr>
              <w:t xml:space="preserve">750,000 </w:t>
            </w:r>
          </w:p>
        </w:tc>
      </w:tr>
      <w:tr>
        <w:tblPrEx>
          <w:tblCellMar>
            <w:top w:w="0" w:type="dxa"/>
            <w:left w:w="108" w:type="dxa"/>
            <w:bottom w:w="0" w:type="dxa"/>
            <w:right w:w="108" w:type="dxa"/>
          </w:tblCellMar>
        </w:tblPrEx>
        <w:trPr>
          <w:trHeight w:val="1262" w:hRule="atLeast"/>
        </w:trPr>
        <w:tc>
          <w:tcPr>
            <w:tcW w:w="989"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13</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textAlignment w:val="center"/>
              <w:rPr>
                <w:rFonts w:eastAsia="仿宋"/>
                <w:szCs w:val="21"/>
              </w:rPr>
            </w:pPr>
            <w:r>
              <w:rPr>
                <w:rFonts w:eastAsia="仿宋"/>
                <w:sz w:val="18"/>
                <w:szCs w:val="18"/>
              </w:rPr>
              <w:t>AI高校学科专项建设方案</w:t>
            </w:r>
          </w:p>
        </w:tc>
        <w:tc>
          <w:tcPr>
            <w:tcW w:w="4896" w:type="dxa"/>
            <w:tcBorders>
              <w:top w:val="nil"/>
              <w:left w:val="nil"/>
              <w:bottom w:val="single" w:color="auto" w:sz="4" w:space="0"/>
              <w:right w:val="single" w:color="auto" w:sz="4" w:space="0"/>
            </w:tcBorders>
            <w:shd w:val="clear" w:color="auto" w:fill="auto"/>
            <w:vAlign w:val="center"/>
          </w:tcPr>
          <w:p>
            <w:pPr>
              <w:rPr>
                <w:szCs w:val="21"/>
              </w:rPr>
            </w:pPr>
            <w:r>
              <w:rPr>
                <w:rFonts w:eastAsia="仿宋"/>
                <w:sz w:val="18"/>
                <w:szCs w:val="18"/>
              </w:rPr>
              <w:t>帮助高校构建人工智能学科体系以及学分制系统性教学方案。包括专业核心课及案例实训课程(ModelArts基础应用实战、实例分割综合案例实践、人脸识别综合案例实践、视频内容分析综合案例实践、深度学习下的OCR技术综合案例实践、生成对抗网络综合案例实践、文本情感分析和文本相似度应用综合案例实践、基于知识库的问答系统综合案例实践和语音识别综合实践案例)等AI高校学科课程建设服务和AI高校学科师资培训服务等。包含9门课程，包含216课时，其中实验课程不低于131课时。</w:t>
            </w:r>
          </w:p>
        </w:tc>
        <w:tc>
          <w:tcPr>
            <w:tcW w:w="828"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元/学科</w:t>
            </w:r>
          </w:p>
        </w:tc>
        <w:tc>
          <w:tcPr>
            <w:tcW w:w="1296"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¥1,303,090</w:t>
            </w:r>
          </w:p>
        </w:tc>
      </w:tr>
      <w:tr>
        <w:tblPrEx>
          <w:tblCellMar>
            <w:top w:w="0" w:type="dxa"/>
            <w:left w:w="108" w:type="dxa"/>
            <w:bottom w:w="0" w:type="dxa"/>
            <w:right w:w="108" w:type="dxa"/>
          </w:tblCellMar>
        </w:tblPrEx>
        <w:trPr>
          <w:trHeight w:val="960" w:hRule="atLeast"/>
        </w:trPr>
        <w:tc>
          <w:tcPr>
            <w:tcW w:w="989"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14</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AI大赛</w:t>
            </w:r>
          </w:p>
        </w:tc>
        <w:tc>
          <w:tcPr>
            <w:tcW w:w="4896"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协助组织AI大赛150人以内大型活动、挑战赛、创意赛等，营造产业与人才培养的氛围，提供AI大赛赛题、云计算资源环境、评审委员会、技术支撑人员、讲师，不包含奖品</w:t>
            </w:r>
          </w:p>
          <w:p>
            <w:pPr>
              <w:widowControl/>
              <w:rPr>
                <w:rFonts w:eastAsia="仿宋"/>
                <w:b/>
                <w:sz w:val="18"/>
                <w:szCs w:val="18"/>
              </w:rPr>
            </w:pPr>
            <w:r>
              <w:rPr>
                <w:rFonts w:eastAsia="仿宋"/>
                <w:b/>
                <w:sz w:val="18"/>
                <w:szCs w:val="18"/>
              </w:rPr>
              <w:t>具体服务标准为：</w:t>
            </w:r>
          </w:p>
          <w:p>
            <w:pPr>
              <w:widowControl/>
              <w:rPr>
                <w:rFonts w:eastAsia="仿宋"/>
                <w:sz w:val="18"/>
                <w:szCs w:val="18"/>
              </w:rPr>
            </w:pPr>
            <w:r>
              <w:rPr>
                <w:rFonts w:eastAsia="仿宋"/>
                <w:sz w:val="18"/>
                <w:szCs w:val="18"/>
              </w:rPr>
              <w:t>1.根据需求场景设计策划案、通过甲方评审</w:t>
            </w:r>
          </w:p>
          <w:p>
            <w:pPr>
              <w:widowControl/>
              <w:rPr>
                <w:rFonts w:eastAsia="仿宋"/>
                <w:sz w:val="18"/>
                <w:szCs w:val="18"/>
              </w:rPr>
            </w:pPr>
            <w:r>
              <w:rPr>
                <w:rFonts w:eastAsia="仿宋"/>
                <w:sz w:val="18"/>
                <w:szCs w:val="18"/>
              </w:rPr>
              <w:t>2.邀请双方认可的专家评委</w:t>
            </w:r>
          </w:p>
          <w:p>
            <w:pPr>
              <w:widowControl/>
              <w:rPr>
                <w:rFonts w:eastAsia="仿宋"/>
                <w:sz w:val="18"/>
                <w:szCs w:val="18"/>
              </w:rPr>
            </w:pPr>
            <w:r>
              <w:rPr>
                <w:rFonts w:eastAsia="仿宋"/>
                <w:sz w:val="18"/>
                <w:szCs w:val="18"/>
              </w:rPr>
              <w:t>3.资深培训讲师（华为人工智能高级技术专家，5年以上丰富的AI相关技术开发与培训经验）</w:t>
            </w:r>
          </w:p>
        </w:tc>
        <w:tc>
          <w:tcPr>
            <w:tcW w:w="828" w:type="dxa"/>
            <w:tcBorders>
              <w:top w:val="nil"/>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元/场次</w:t>
            </w:r>
          </w:p>
        </w:tc>
        <w:tc>
          <w:tcPr>
            <w:tcW w:w="1296" w:type="dxa"/>
            <w:tcBorders>
              <w:top w:val="nil"/>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¥3,000,000.00</w:t>
            </w:r>
          </w:p>
        </w:tc>
      </w:tr>
      <w:tr>
        <w:tblPrEx>
          <w:tblCellMar>
            <w:top w:w="0" w:type="dxa"/>
            <w:left w:w="108" w:type="dxa"/>
            <w:bottom w:w="0" w:type="dxa"/>
            <w:right w:w="108" w:type="dxa"/>
          </w:tblCellMar>
        </w:tblPrEx>
        <w:trPr>
          <w:trHeight w:val="1680" w:hRule="atLeast"/>
        </w:trPr>
        <w:tc>
          <w:tcPr>
            <w:tcW w:w="989" w:type="dxa"/>
            <w:vMerge w:val="continue"/>
            <w:tcBorders>
              <w:top w:val="single" w:color="auto" w:sz="4" w:space="0"/>
              <w:left w:val="single" w:color="auto" w:sz="4" w:space="0"/>
              <w:bottom w:val="nil"/>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15</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AI高校学科整体建设方案</w:t>
            </w:r>
          </w:p>
        </w:tc>
        <w:tc>
          <w:tcPr>
            <w:tcW w:w="4896"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帮助高校构建人工智能学科体系以及学分制系统性教学方案。包括专业核心课（Linux Shell脚本编程、Python程序设计、网络爬虫技术与实战、数据集处理技术与应用、机器学习技术、数据挖掘技术与应用、深度学习技术、强化学习技术、计算机视觉技术与实战、语音识别技术与应用、自然语言处理技术与应用、推荐系统技术及实战、华为人工智能技术基础（初级认证）HCIA-AI 2.0、Hadoop技术原理、大数据流式计算引擎、HCIA-BIG DATA）及案例实训课程（实例分割综合案例实践、人脸识别综合案例实践、视频内容分析综合案例实践、深度学习下的OCR技术综合案例实践、生成对抗网络综合案例实践、文本情感分析和文本相似度应用综合案例实践、基于知识库的问答系统综合案例实践、语音识别综合实践案例、金融风控违约预测实战、运营商分析挖掘实战、客户离网预测实战）。包括两大类28门课程，共包含1088课时，其中实验课程不低于600课时，教师赋能培训15天，实训平台使用3年</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
                <w:sz w:val="18"/>
                <w:szCs w:val="18"/>
              </w:rPr>
            </w:pPr>
            <w:r>
              <w:rPr>
                <w:rFonts w:eastAsia="仿宋"/>
                <w:sz w:val="18"/>
                <w:szCs w:val="18"/>
              </w:rPr>
              <w:t>元/学科</w:t>
            </w:r>
          </w:p>
        </w:tc>
        <w:tc>
          <w:tcPr>
            <w:tcW w:w="1296"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¥3,000,000.00</w:t>
            </w:r>
          </w:p>
        </w:tc>
      </w:tr>
      <w:tr>
        <w:tblPrEx>
          <w:tblCellMar>
            <w:top w:w="0" w:type="dxa"/>
            <w:left w:w="108" w:type="dxa"/>
            <w:bottom w:w="0" w:type="dxa"/>
            <w:right w:w="108" w:type="dxa"/>
          </w:tblCellMar>
        </w:tblPrEx>
        <w:trPr>
          <w:trHeight w:val="473" w:hRule="atLeast"/>
        </w:trPr>
        <w:tc>
          <w:tcPr>
            <w:tcW w:w="92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备注：原则上每次申报单个项目只允许申请一项华为AI培训服务。</w:t>
            </w:r>
          </w:p>
        </w:tc>
      </w:tr>
    </w:tbl>
    <w:p>
      <w:pPr>
        <w:rPr>
          <w:szCs w:val="21"/>
        </w:rPr>
      </w:pPr>
    </w:p>
    <w:p>
      <w:pPr>
        <w:rPr>
          <w:szCs w:val="21"/>
        </w:rPr>
      </w:pPr>
    </w:p>
    <w:tbl>
      <w:tblPr>
        <w:tblStyle w:val="4"/>
        <w:tblW w:w="9273" w:type="dxa"/>
        <w:tblInd w:w="5" w:type="dxa"/>
        <w:tblLayout w:type="fixed"/>
        <w:tblCellMar>
          <w:top w:w="0" w:type="dxa"/>
          <w:left w:w="108" w:type="dxa"/>
          <w:bottom w:w="0" w:type="dxa"/>
          <w:right w:w="108" w:type="dxa"/>
        </w:tblCellMar>
      </w:tblPr>
      <w:tblGrid>
        <w:gridCol w:w="989"/>
        <w:gridCol w:w="556"/>
        <w:gridCol w:w="708"/>
        <w:gridCol w:w="4896"/>
        <w:gridCol w:w="828"/>
        <w:gridCol w:w="1296"/>
      </w:tblGrid>
      <w:tr>
        <w:tblPrEx>
          <w:tblCellMar>
            <w:top w:w="0" w:type="dxa"/>
            <w:left w:w="108" w:type="dxa"/>
            <w:bottom w:w="0" w:type="dxa"/>
            <w:right w:w="108" w:type="dxa"/>
          </w:tblCellMar>
        </w:tblPrEx>
        <w:trPr>
          <w:trHeight w:val="734" w:hRule="atLeast"/>
        </w:trPr>
        <w:tc>
          <w:tcPr>
            <w:tcW w:w="92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黑体"/>
                <w:b/>
                <w:sz w:val="18"/>
                <w:szCs w:val="18"/>
              </w:rPr>
            </w:pPr>
            <w:r>
              <w:rPr>
                <w:rFonts w:eastAsia="黑体"/>
                <w:b/>
                <w:sz w:val="28"/>
                <w:szCs w:val="28"/>
              </w:rPr>
              <w:t>三、华为AI联合创新服务</w:t>
            </w:r>
          </w:p>
        </w:tc>
      </w:tr>
      <w:tr>
        <w:tblPrEx>
          <w:tblCellMar>
            <w:top w:w="0" w:type="dxa"/>
            <w:left w:w="108" w:type="dxa"/>
            <w:bottom w:w="0" w:type="dxa"/>
            <w:right w:w="108" w:type="dxa"/>
          </w:tblCellMar>
        </w:tblPrEx>
        <w:trPr>
          <w:trHeight w:val="1680" w:hRule="atLeast"/>
        </w:trPr>
        <w:tc>
          <w:tcPr>
            <w:tcW w:w="9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华为AI联合创新服务</w:t>
            </w: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1</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联合创新设计服务</w:t>
            </w:r>
          </w:p>
        </w:tc>
        <w:tc>
          <w:tcPr>
            <w:tcW w:w="4896"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与企业的联合创新场景必选服务条目，提供专家到场的企业咨询服务（合计不超过7人天），帮助企业从AI角度论证可行性，并给出AI实现方案。</w:t>
            </w:r>
          </w:p>
          <w:p>
            <w:pPr>
              <w:widowControl/>
              <w:rPr>
                <w:rFonts w:eastAsia="仿宋"/>
                <w:sz w:val="18"/>
                <w:szCs w:val="18"/>
              </w:rPr>
            </w:pPr>
            <w:r>
              <w:rPr>
                <w:rFonts w:eastAsia="仿宋"/>
                <w:sz w:val="18"/>
                <w:szCs w:val="18"/>
              </w:rPr>
              <w:t>非联合创新场景不单独提供此项服务。</w:t>
            </w:r>
          </w:p>
          <w:p>
            <w:pPr>
              <w:widowControl/>
              <w:rPr>
                <w:rFonts w:eastAsia="仿宋"/>
                <w:b/>
                <w:sz w:val="18"/>
                <w:szCs w:val="18"/>
              </w:rPr>
            </w:pPr>
            <w:r>
              <w:rPr>
                <w:rFonts w:eastAsia="仿宋"/>
                <w:b/>
                <w:sz w:val="18"/>
                <w:szCs w:val="18"/>
              </w:rPr>
              <w:t>具体服务标准为：</w:t>
            </w:r>
          </w:p>
          <w:p>
            <w:pPr>
              <w:widowControl/>
              <w:rPr>
                <w:rFonts w:eastAsia="仿宋"/>
                <w:kern w:val="0"/>
                <w:sz w:val="18"/>
                <w:szCs w:val="18"/>
              </w:rPr>
            </w:pPr>
            <w:r>
              <w:rPr>
                <w:rFonts w:eastAsia="仿宋"/>
                <w:sz w:val="18"/>
                <w:szCs w:val="18"/>
              </w:rPr>
              <w:t>对齐企业需求，输出企业认可的技术可行性方案或设计方案</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元/方案</w:t>
            </w:r>
          </w:p>
        </w:tc>
        <w:tc>
          <w:tcPr>
            <w:tcW w:w="1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¥300,000.00</w:t>
            </w:r>
          </w:p>
        </w:tc>
      </w:tr>
      <w:tr>
        <w:tblPrEx>
          <w:tblCellMar>
            <w:top w:w="0" w:type="dxa"/>
            <w:left w:w="108" w:type="dxa"/>
            <w:bottom w:w="0" w:type="dxa"/>
            <w:right w:w="108" w:type="dxa"/>
          </w:tblCellMar>
        </w:tblPrEx>
        <w:trPr>
          <w:trHeight w:val="1680" w:hRule="atLeast"/>
        </w:trPr>
        <w:tc>
          <w:tcPr>
            <w:tcW w:w="989" w:type="dxa"/>
            <w:vMerge w:val="continue"/>
            <w:tcBorders>
              <w:top w:val="nil"/>
              <w:left w:val="single" w:color="auto" w:sz="4" w:space="0"/>
              <w:bottom w:val="single" w:color="auto" w:sz="4" w:space="0"/>
              <w:right w:val="single" w:color="auto" w:sz="4" w:space="0"/>
            </w:tcBorders>
            <w:shd w:val="clear" w:color="auto" w:fill="auto"/>
            <w:vAlign w:val="center"/>
          </w:tcPr>
          <w:p>
            <w:pPr>
              <w:rPr>
                <w:sz w:val="20"/>
                <w:szCs w:val="20"/>
              </w:rPr>
            </w:pPr>
          </w:p>
        </w:tc>
        <w:tc>
          <w:tcPr>
            <w:tcW w:w="5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2</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联合创新的模型预研、模型推理、模型优化服务或AI解决方案研发服务</w:t>
            </w:r>
          </w:p>
        </w:tc>
        <w:tc>
          <w:tcPr>
            <w:tcW w:w="4896"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与企业在视觉、语音、文字、知识图谱、自然语言处理等方向的重点战略项目上进行联合创新，提供模型预研、模型推理、模型优化服务或AI解决方案研发服务。</w:t>
            </w:r>
          </w:p>
          <w:p>
            <w:pPr>
              <w:widowControl/>
              <w:rPr>
                <w:rFonts w:eastAsia="仿宋"/>
                <w:b/>
                <w:sz w:val="18"/>
                <w:szCs w:val="18"/>
              </w:rPr>
            </w:pPr>
            <w:r>
              <w:rPr>
                <w:rFonts w:eastAsia="仿宋"/>
                <w:b/>
                <w:sz w:val="18"/>
                <w:szCs w:val="18"/>
              </w:rPr>
              <w:t>具体服务标准为：</w:t>
            </w:r>
          </w:p>
          <w:p>
            <w:pPr>
              <w:widowControl/>
              <w:rPr>
                <w:rFonts w:eastAsia="仿宋"/>
                <w:kern w:val="0"/>
                <w:sz w:val="18"/>
                <w:szCs w:val="18"/>
              </w:rPr>
            </w:pPr>
            <w:r>
              <w:rPr>
                <w:rFonts w:eastAsia="仿宋"/>
                <w:sz w:val="18"/>
                <w:szCs w:val="18"/>
              </w:rPr>
              <w:t>模型交付、推理上线、模型优化或AI解决方案达到双方设定目标</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元/方案</w:t>
            </w:r>
          </w:p>
        </w:tc>
        <w:tc>
          <w:tcPr>
            <w:tcW w:w="1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
                <w:sz w:val="18"/>
                <w:szCs w:val="18"/>
              </w:rPr>
            </w:pPr>
            <w:r>
              <w:rPr>
                <w:rFonts w:eastAsia="仿宋"/>
                <w:sz w:val="18"/>
                <w:szCs w:val="18"/>
              </w:rPr>
              <w:t>一事一议，5000000起</w:t>
            </w:r>
          </w:p>
        </w:tc>
      </w:tr>
      <w:tr>
        <w:tblPrEx>
          <w:tblCellMar>
            <w:top w:w="0" w:type="dxa"/>
            <w:left w:w="108" w:type="dxa"/>
            <w:bottom w:w="0" w:type="dxa"/>
            <w:right w:w="108" w:type="dxa"/>
          </w:tblCellMar>
        </w:tblPrEx>
        <w:trPr>
          <w:trHeight w:val="621" w:hRule="atLeast"/>
        </w:trPr>
        <w:tc>
          <w:tcPr>
            <w:tcW w:w="92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仿宋"/>
                <w:sz w:val="18"/>
                <w:szCs w:val="18"/>
              </w:rPr>
            </w:pPr>
            <w:r>
              <w:rPr>
                <w:rFonts w:eastAsia="仿宋"/>
                <w:sz w:val="18"/>
                <w:szCs w:val="18"/>
              </w:rPr>
              <w:t>备注：原则上每次申报单个项目只允许申请一项华为AI联合创新服务。</w:t>
            </w:r>
          </w:p>
        </w:tc>
      </w:tr>
    </w:tbl>
    <w:p>
      <w:pPr>
        <w:rPr>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20DB0"/>
    <w:multiLevelType w:val="multilevel"/>
    <w:tmpl w:val="7B820DB0"/>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23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rPr>
      <w:szCs w:val="21"/>
    </w:rPr>
  </w:style>
  <w:style w:type="paragraph" w:styleId="3">
    <w:name w:val="Normal (Web)"/>
    <w:basedOn w:val="1"/>
    <w:unhideWhenUsed/>
    <w:qFormat/>
    <w:uiPriority w:val="99"/>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2022-03-09T10:21:26Z</dcterms:created>
  <dc:creator>DELL</dc:creator>
  <cp:lastModifiedBy>DELL</cp:lastModifiedBy>
  <dcterms:modified xsi:type="dcterms:W3CDTF">2022-03-09T10:23:54Z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8ADB6F22B5BC4ADC94A0E83DD6AD6B8B</vt:lpwstr>
  </property>
</Properties>
</file>