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eastAsia="黑体"/>
          <w:b/>
          <w:bCs/>
          <w:sz w:val="48"/>
          <w:szCs w:val="48"/>
          <w:lang w:val="zh-TW"/>
        </w:rPr>
      </w:pPr>
      <w:r>
        <w:rPr>
          <w:rFonts w:eastAsia="黑体"/>
          <w:sz w:val="32"/>
          <w:szCs w:val="32"/>
        </w:rPr>
        <w:t>附件2</w:t>
      </w:r>
    </w:p>
    <w:p>
      <w:pPr>
        <w:adjustRightInd w:val="0"/>
        <w:snapToGrid w:val="0"/>
        <w:spacing w:line="590" w:lineRule="exact"/>
        <w:rPr>
          <w:rFonts w:eastAsia="方正小标宋简体"/>
          <w:b/>
          <w:bCs/>
          <w:color w:val="000000"/>
          <w:sz w:val="48"/>
          <w:szCs w:val="48"/>
          <w:u w:color="000000"/>
          <w:lang w:val="zh-TW"/>
        </w:rPr>
      </w:pPr>
    </w:p>
    <w:p>
      <w:pPr>
        <w:adjustRightInd w:val="0"/>
        <w:snapToGrid w:val="0"/>
        <w:spacing w:line="590" w:lineRule="exact"/>
        <w:jc w:val="center"/>
        <w:rPr>
          <w:rFonts w:eastAsia="方正小标宋简体"/>
          <w:bCs/>
          <w:color w:val="000000"/>
          <w:sz w:val="44"/>
          <w:szCs w:val="44"/>
          <w:u w:color="000000"/>
          <w:lang w:val="zh-TW" w:eastAsia="zh-TW"/>
        </w:rPr>
      </w:pPr>
      <w:r>
        <w:rPr>
          <w:rFonts w:hint="eastAsia" w:eastAsia="方正小标宋简体"/>
          <w:bCs/>
          <w:color w:val="000000"/>
          <w:sz w:val="44"/>
          <w:szCs w:val="44"/>
          <w:u w:color="000000"/>
          <w:lang w:val="zh-TW" w:eastAsia="zh-CN"/>
        </w:rPr>
        <w:t>中国—东盟</w:t>
      </w:r>
      <w:r>
        <w:rPr>
          <w:rFonts w:eastAsia="方正小标宋简体"/>
          <w:bCs/>
          <w:color w:val="000000"/>
          <w:sz w:val="44"/>
          <w:szCs w:val="44"/>
          <w:u w:color="000000"/>
          <w:lang w:val="zh-TW" w:eastAsia="zh-TW"/>
        </w:rPr>
        <w:t>（华为）人工智能创新中心</w:t>
      </w:r>
    </w:p>
    <w:p>
      <w:pPr>
        <w:adjustRightInd w:val="0"/>
        <w:snapToGrid w:val="0"/>
        <w:spacing w:line="590" w:lineRule="exact"/>
        <w:jc w:val="center"/>
        <w:rPr>
          <w:rFonts w:eastAsia="方正小标宋_GBK"/>
          <w:bCs/>
          <w:color w:val="000000"/>
          <w:sz w:val="44"/>
          <w:szCs w:val="44"/>
          <w:u w:color="000000"/>
          <w:lang w:val="zh-TW" w:eastAsia="zh-TW"/>
        </w:rPr>
      </w:pPr>
      <w:r>
        <w:rPr>
          <w:rFonts w:eastAsia="方正小标宋简体"/>
          <w:bCs/>
          <w:color w:val="000000"/>
          <w:sz w:val="44"/>
          <w:szCs w:val="44"/>
          <w:u w:color="000000"/>
        </w:rPr>
        <w:t>2022年</w:t>
      </w:r>
      <w:r>
        <w:rPr>
          <w:rFonts w:eastAsia="方正小标宋简体"/>
          <w:bCs/>
          <w:color w:val="000000"/>
          <w:sz w:val="44"/>
          <w:szCs w:val="44"/>
          <w:u w:color="000000"/>
          <w:lang w:val="zh-TW" w:eastAsia="zh-TW"/>
        </w:rPr>
        <w:t>专项补贴</w:t>
      </w:r>
      <w:r>
        <w:rPr>
          <w:rFonts w:eastAsia="方正小标宋简体"/>
          <w:bCs/>
          <w:color w:val="000000"/>
          <w:sz w:val="44"/>
          <w:szCs w:val="44"/>
          <w:u w:color="000000"/>
        </w:rPr>
        <w:t>项目申报</w:t>
      </w:r>
      <w:r>
        <w:rPr>
          <w:rFonts w:eastAsia="方正小标宋简体"/>
          <w:bCs/>
          <w:color w:val="000000"/>
          <w:sz w:val="44"/>
          <w:szCs w:val="44"/>
          <w:u w:color="000000"/>
          <w:lang w:val="zh-TW" w:eastAsia="zh-TW"/>
        </w:rPr>
        <w:t>指南</w:t>
      </w:r>
    </w:p>
    <w:p>
      <w:pPr>
        <w:adjustRightInd w:val="0"/>
        <w:snapToGrid w:val="0"/>
        <w:spacing w:line="590" w:lineRule="exact"/>
        <w:rPr>
          <w:rFonts w:eastAsia="仿宋"/>
          <w:color w:val="000000"/>
          <w:sz w:val="44"/>
          <w:szCs w:val="44"/>
          <w:u w:color="000000"/>
        </w:rPr>
      </w:pPr>
    </w:p>
    <w:p>
      <w:pPr>
        <w:adjustRightInd w:val="0"/>
        <w:snapToGrid w:val="0"/>
        <w:spacing w:line="590" w:lineRule="exact"/>
        <w:ind w:firstLine="420"/>
        <w:rPr>
          <w:rFonts w:eastAsia="黑体"/>
          <w:sz w:val="32"/>
          <w:szCs w:val="32"/>
        </w:rPr>
      </w:pPr>
      <w:r>
        <w:rPr>
          <w:rFonts w:eastAsia="黑体"/>
          <w:sz w:val="32"/>
          <w:szCs w:val="32"/>
        </w:rPr>
        <w:t>一、支持范围</w:t>
      </w:r>
    </w:p>
    <w:p>
      <w:pPr>
        <w:adjustRightInd w:val="0"/>
        <w:snapToGrid w:val="0"/>
        <w:spacing w:line="590" w:lineRule="exact"/>
        <w:ind w:firstLine="640" w:firstLineChars="200"/>
        <w:rPr>
          <w:rFonts w:eastAsia="楷体"/>
          <w:sz w:val="32"/>
          <w:szCs w:val="32"/>
        </w:rPr>
      </w:pPr>
      <w:r>
        <w:rPr>
          <w:rFonts w:eastAsia="楷体"/>
          <w:sz w:val="32"/>
          <w:szCs w:val="32"/>
        </w:rPr>
        <w:t>（一）人工智能示范应用</w:t>
      </w:r>
    </w:p>
    <w:p>
      <w:pPr>
        <w:pStyle w:val="3"/>
        <w:autoSpaceDE w:val="0"/>
        <w:adjustRightInd w:val="0"/>
        <w:snapToGrid w:val="0"/>
        <w:spacing w:line="590" w:lineRule="exact"/>
        <w:ind w:firstLine="640" w:firstLineChars="200"/>
        <w:rPr>
          <w:rFonts w:eastAsia="仿宋_GB2312"/>
          <w:color w:val="000000"/>
          <w:sz w:val="32"/>
          <w:szCs w:val="32"/>
        </w:rPr>
      </w:pPr>
      <w:r>
        <w:rPr>
          <w:rFonts w:eastAsia="仿宋_GB2312"/>
          <w:color w:val="000000"/>
          <w:sz w:val="32"/>
          <w:szCs w:val="32"/>
        </w:rPr>
        <w:t>1.人工智能与政府管理深度融合应用</w:t>
      </w:r>
    </w:p>
    <w:p>
      <w:pPr>
        <w:pStyle w:val="3"/>
        <w:autoSpaceDE w:val="0"/>
        <w:adjustRightInd w:val="0"/>
        <w:snapToGrid w:val="0"/>
        <w:spacing w:line="590" w:lineRule="exact"/>
        <w:ind w:firstLine="640" w:firstLineChars="200"/>
        <w:rPr>
          <w:rFonts w:eastAsia="仿宋_GB2312"/>
          <w:color w:val="000000"/>
          <w:sz w:val="32"/>
          <w:szCs w:val="32"/>
        </w:rPr>
      </w:pPr>
      <w:r>
        <w:rPr>
          <w:rFonts w:eastAsia="仿宋_GB2312"/>
          <w:color w:val="000000"/>
          <w:sz w:val="32"/>
          <w:szCs w:val="32"/>
        </w:rPr>
        <w:t>充分利用人脸识别、自然语言处理、机器人流程自动化等技术增强行政管理能力。重点支持对推动政府智能化转型，实现行政效能、服务水平、治理能力的全面提升具有显著示范带动作用的项目。支持人工智能与政府部门业务办理深度融合，提高行政效能；支持党政机关建设一批适用于政府服务与决策的人工智能平台，在问题研判、政策评估、风险预警、应急处置等重大战略决策方面推广应用。</w:t>
      </w:r>
    </w:p>
    <w:p>
      <w:pPr>
        <w:pStyle w:val="3"/>
        <w:autoSpaceDE w:val="0"/>
        <w:adjustRightInd w:val="0"/>
        <w:snapToGrid w:val="0"/>
        <w:spacing w:line="590" w:lineRule="exact"/>
        <w:ind w:firstLine="640" w:firstLineChars="200"/>
        <w:rPr>
          <w:rFonts w:eastAsia="仿宋_GB2312"/>
          <w:color w:val="000000"/>
          <w:sz w:val="32"/>
          <w:szCs w:val="32"/>
        </w:rPr>
      </w:pPr>
      <w:r>
        <w:rPr>
          <w:rFonts w:eastAsia="仿宋_GB2312"/>
          <w:color w:val="000000"/>
          <w:sz w:val="32"/>
          <w:szCs w:val="32"/>
        </w:rPr>
        <w:t>2.人工智能与工业深度融合应用</w:t>
      </w:r>
    </w:p>
    <w:p>
      <w:pPr>
        <w:pStyle w:val="3"/>
        <w:autoSpaceDE w:val="0"/>
        <w:adjustRightInd w:val="0"/>
        <w:snapToGrid w:val="0"/>
        <w:spacing w:line="590" w:lineRule="exact"/>
        <w:ind w:firstLine="640" w:firstLineChars="200"/>
        <w:rPr>
          <w:rFonts w:eastAsia="仿宋_GB2312"/>
          <w:color w:val="000000"/>
          <w:sz w:val="32"/>
          <w:szCs w:val="32"/>
        </w:rPr>
      </w:pPr>
      <w:r>
        <w:rPr>
          <w:rFonts w:eastAsia="仿宋_GB2312"/>
          <w:color w:val="000000"/>
          <w:sz w:val="32"/>
          <w:szCs w:val="32"/>
        </w:rPr>
        <w:t>围绕广西工业智能化转型升级重大需求，构建智能制造产业生态、加快布局发展工业互联网平台，推动制造全生命周期活动智能化。重点支持推进智能制造关键技术装备、核心支撑软件、工业互联网等系统集成应用，智能产品研发、智能制造使能工具与系统、智能制造云服务平台，以及智能制造标准体系建立，对本地区、本行业工业企业具有显著示范带动作用的项目。</w:t>
      </w:r>
    </w:p>
    <w:p>
      <w:pPr>
        <w:pStyle w:val="3"/>
        <w:autoSpaceDE w:val="0"/>
        <w:adjustRightInd w:val="0"/>
        <w:snapToGrid w:val="0"/>
        <w:spacing w:line="590" w:lineRule="exact"/>
        <w:ind w:firstLine="640" w:firstLineChars="200"/>
        <w:rPr>
          <w:rFonts w:eastAsia="仿宋_GB2312"/>
          <w:color w:val="000000"/>
          <w:sz w:val="32"/>
          <w:szCs w:val="32"/>
        </w:rPr>
      </w:pPr>
      <w:r>
        <w:rPr>
          <w:rFonts w:eastAsia="仿宋_GB2312"/>
          <w:color w:val="000000"/>
          <w:sz w:val="32"/>
          <w:szCs w:val="32"/>
        </w:rPr>
        <w:t>3.人工智能与农业深度融合应用</w:t>
      </w:r>
    </w:p>
    <w:p>
      <w:pPr>
        <w:pStyle w:val="3"/>
        <w:autoSpaceDE w:val="0"/>
        <w:adjustRightInd w:val="0"/>
        <w:snapToGrid w:val="0"/>
        <w:spacing w:line="590" w:lineRule="exact"/>
        <w:ind w:firstLine="640" w:firstLineChars="200"/>
        <w:rPr>
          <w:rFonts w:eastAsia="仿宋_GB2312"/>
          <w:color w:val="000000"/>
          <w:sz w:val="32"/>
          <w:szCs w:val="32"/>
        </w:rPr>
      </w:pPr>
      <w:r>
        <w:rPr>
          <w:rFonts w:eastAsia="仿宋_GB2312"/>
          <w:color w:val="000000"/>
          <w:sz w:val="32"/>
          <w:szCs w:val="32"/>
        </w:rPr>
        <w:t>深入应用人工智能新技术提高农业生产效率、农业经营水平、农业行政管理能力和为农服务质量。重点支持农业智能传感与控制系统、智能化农业装备、农机田间作业自主系统、农业大数据智能决策分析系统等开发应用，打造智能农场、智能化植物工厂、智能牧场、智能渔场、智能果园、农产品加工智能车间、农产品绿色智能供应链等典型示范作用的项目。</w:t>
      </w:r>
    </w:p>
    <w:p>
      <w:pPr>
        <w:pStyle w:val="3"/>
        <w:autoSpaceDE w:val="0"/>
        <w:adjustRightInd w:val="0"/>
        <w:snapToGrid w:val="0"/>
        <w:spacing w:line="590" w:lineRule="exact"/>
        <w:ind w:firstLine="640" w:firstLineChars="200"/>
        <w:rPr>
          <w:rFonts w:eastAsia="仿宋_GB2312"/>
          <w:color w:val="000000"/>
          <w:sz w:val="32"/>
          <w:szCs w:val="32"/>
        </w:rPr>
      </w:pPr>
      <w:r>
        <w:rPr>
          <w:rFonts w:eastAsia="仿宋_GB2312"/>
          <w:color w:val="000000"/>
          <w:sz w:val="32"/>
          <w:szCs w:val="32"/>
        </w:rPr>
        <w:t>4.人工智能与服务业深度融合应用</w:t>
      </w:r>
    </w:p>
    <w:p>
      <w:pPr>
        <w:pStyle w:val="3"/>
        <w:autoSpaceDE w:val="0"/>
        <w:adjustRightInd w:val="0"/>
        <w:snapToGrid w:val="0"/>
        <w:spacing w:line="590" w:lineRule="exact"/>
        <w:ind w:firstLine="640" w:firstLineChars="200"/>
        <w:rPr>
          <w:rFonts w:eastAsia="仿宋_GB2312"/>
          <w:sz w:val="32"/>
          <w:szCs w:val="32"/>
        </w:rPr>
      </w:pPr>
      <w:r>
        <w:rPr>
          <w:rFonts w:eastAsia="仿宋_GB2312"/>
          <w:color w:val="000000"/>
          <w:sz w:val="32"/>
          <w:szCs w:val="32"/>
        </w:rPr>
        <w:t>加快推动人工智能与生产性、生活性服务业深度融合，培育壮大人工智能技术在第三产业的新业态。重点支持在服务支撑、服务业智能设备、服务业移动应用等方面的智能应用，提升服务业自动化、便捷化、数字化、绿色</w:t>
      </w:r>
      <w:r>
        <w:rPr>
          <w:rFonts w:eastAsia="仿宋_GB2312"/>
          <w:sz w:val="32"/>
          <w:szCs w:val="32"/>
        </w:rPr>
        <w:t>化水平，对本地区、本行业企业具有显著示范带动作用的项目。</w:t>
      </w:r>
    </w:p>
    <w:p>
      <w:pPr>
        <w:adjustRightInd w:val="0"/>
        <w:snapToGrid w:val="0"/>
        <w:spacing w:line="590" w:lineRule="exact"/>
        <w:ind w:firstLine="640" w:firstLineChars="200"/>
        <w:rPr>
          <w:rFonts w:eastAsia="楷体"/>
          <w:sz w:val="32"/>
          <w:szCs w:val="32"/>
        </w:rPr>
      </w:pPr>
      <w:r>
        <w:rPr>
          <w:rFonts w:eastAsia="楷体"/>
          <w:sz w:val="32"/>
          <w:szCs w:val="32"/>
        </w:rPr>
        <w:t>（二）人工智能基础服务平台建设</w:t>
      </w:r>
    </w:p>
    <w:p>
      <w:pPr>
        <w:pStyle w:val="3"/>
        <w:autoSpaceDE w:val="0"/>
        <w:adjustRightInd w:val="0"/>
        <w:snapToGrid w:val="0"/>
        <w:spacing w:line="590" w:lineRule="exact"/>
        <w:ind w:firstLine="640" w:firstLineChars="200"/>
        <w:rPr>
          <w:rFonts w:eastAsia="仿宋_GB2312"/>
          <w:color w:val="000000"/>
          <w:sz w:val="32"/>
          <w:szCs w:val="32"/>
        </w:rPr>
      </w:pPr>
      <w:r>
        <w:rPr>
          <w:rFonts w:eastAsia="仿宋_GB2312"/>
          <w:color w:val="000000"/>
          <w:sz w:val="32"/>
          <w:szCs w:val="32"/>
        </w:rPr>
        <w:t>6.人才培养平台</w:t>
      </w:r>
    </w:p>
    <w:p>
      <w:pPr>
        <w:pStyle w:val="3"/>
        <w:autoSpaceDE w:val="0"/>
        <w:adjustRightInd w:val="0"/>
        <w:snapToGrid w:val="0"/>
        <w:spacing w:line="590" w:lineRule="exact"/>
        <w:ind w:firstLine="640" w:firstLineChars="200"/>
        <w:rPr>
          <w:rFonts w:eastAsia="仿宋_GB2312"/>
          <w:color w:val="000000"/>
          <w:sz w:val="32"/>
          <w:szCs w:val="32"/>
        </w:rPr>
      </w:pPr>
      <w:r>
        <w:rPr>
          <w:rFonts w:eastAsia="仿宋_GB2312"/>
          <w:color w:val="000000"/>
          <w:sz w:val="32"/>
          <w:szCs w:val="32"/>
        </w:rPr>
        <w:t>支持推进人工智能人才培养，支持高校、科研院所、企业、党政机关等机构开展人工智能学科建设或人才培训，培养</w:t>
      </w:r>
      <w:r>
        <w:rPr>
          <w:rFonts w:hint="eastAsia" w:eastAsia="仿宋_GB2312"/>
          <w:color w:val="000000"/>
          <w:sz w:val="32"/>
          <w:szCs w:val="32"/>
          <w:lang w:eastAsia="zh-CN"/>
        </w:rPr>
        <w:t>“</w:t>
      </w:r>
      <w:r>
        <w:rPr>
          <w:rFonts w:eastAsia="仿宋_GB2312"/>
          <w:color w:val="000000"/>
          <w:sz w:val="32"/>
          <w:szCs w:val="32"/>
        </w:rPr>
        <w:t>人工智能+</w:t>
      </w:r>
      <w:r>
        <w:rPr>
          <w:rFonts w:hint="eastAsia" w:eastAsia="仿宋_GB2312"/>
          <w:color w:val="000000"/>
          <w:sz w:val="32"/>
          <w:szCs w:val="32"/>
          <w:lang w:eastAsia="zh-CN"/>
        </w:rPr>
        <w:t>”</w:t>
      </w:r>
      <w:r>
        <w:rPr>
          <w:rFonts w:eastAsia="仿宋_GB2312"/>
          <w:color w:val="000000"/>
          <w:sz w:val="32"/>
          <w:szCs w:val="32"/>
        </w:rPr>
        <w:t>复合型专业人才。打造各类人工智能人才培养基地、人工智能优质学科、人工智能创新创业中心、人工智能研发中心、人工智能专业服务机构等示范引领项目，促进人工智能产业人才规模增长、补齐广西人才结构短板、为广西产业发展提供可持续发展的源动力。</w:t>
      </w:r>
    </w:p>
    <w:p>
      <w:pPr>
        <w:pStyle w:val="3"/>
        <w:autoSpaceDE w:val="0"/>
        <w:adjustRightInd w:val="0"/>
        <w:snapToGrid w:val="0"/>
        <w:spacing w:line="590" w:lineRule="exact"/>
        <w:ind w:firstLine="640" w:firstLineChars="200"/>
        <w:rPr>
          <w:rFonts w:eastAsia="仿宋_GB2312"/>
          <w:color w:val="000000"/>
          <w:sz w:val="32"/>
          <w:szCs w:val="32"/>
        </w:rPr>
      </w:pPr>
      <w:r>
        <w:rPr>
          <w:rFonts w:eastAsia="仿宋_GB2312"/>
          <w:color w:val="000000"/>
          <w:sz w:val="32"/>
          <w:szCs w:val="32"/>
        </w:rPr>
        <w:t>7.公共服务平台</w:t>
      </w:r>
    </w:p>
    <w:p>
      <w:pPr>
        <w:pStyle w:val="3"/>
        <w:autoSpaceDE w:val="0"/>
        <w:adjustRightInd w:val="0"/>
        <w:snapToGrid w:val="0"/>
        <w:spacing w:line="590" w:lineRule="exact"/>
        <w:ind w:firstLine="640" w:firstLineChars="200"/>
        <w:rPr>
          <w:rFonts w:eastAsia="仿宋_GB2312"/>
          <w:sz w:val="32"/>
          <w:szCs w:val="32"/>
        </w:rPr>
      </w:pPr>
      <w:r>
        <w:rPr>
          <w:rFonts w:eastAsia="仿宋_GB2312"/>
          <w:color w:val="000000"/>
          <w:sz w:val="32"/>
          <w:szCs w:val="32"/>
        </w:rPr>
        <w:t>支持建设人工智能重点产品或行业应用安全的评估测试平台，开展行业数据统计分析等服务。支持面向自动驾驶领域的数字仿真平台、工业检测平台、技术验证服务平台建设。支持面向无人机的技术应用创新、运营管理公共服务平台建设。支持区级人工智能创新中心发挥行业龙头作用，加快产业核心关键技术突</w:t>
      </w:r>
      <w:r>
        <w:rPr>
          <w:rFonts w:eastAsia="仿宋_GB2312"/>
          <w:sz w:val="32"/>
          <w:szCs w:val="32"/>
        </w:rPr>
        <w:t>破，促进面向行业的融合应用，以及制定相关行业标准、发布人工智能研究报告等。</w:t>
      </w:r>
    </w:p>
    <w:p>
      <w:pPr>
        <w:adjustRightInd w:val="0"/>
        <w:snapToGrid w:val="0"/>
        <w:spacing w:line="590" w:lineRule="exact"/>
        <w:ind w:firstLine="640" w:firstLineChars="200"/>
        <w:rPr>
          <w:rFonts w:eastAsia="方正楷体_GBK"/>
          <w:sz w:val="32"/>
          <w:szCs w:val="32"/>
        </w:rPr>
      </w:pPr>
      <w:r>
        <w:rPr>
          <w:rFonts w:eastAsia="楷体"/>
          <w:sz w:val="32"/>
          <w:szCs w:val="32"/>
        </w:rPr>
        <w:t>（三）人工智能技术创新</w:t>
      </w:r>
    </w:p>
    <w:p>
      <w:pPr>
        <w:pStyle w:val="3"/>
        <w:autoSpaceDE w:val="0"/>
        <w:adjustRightInd w:val="0"/>
        <w:snapToGrid w:val="0"/>
        <w:spacing w:line="590" w:lineRule="exact"/>
        <w:ind w:firstLine="640" w:firstLineChars="200"/>
        <w:rPr>
          <w:rFonts w:eastAsia="仿宋_GB2312"/>
          <w:color w:val="000000"/>
          <w:sz w:val="32"/>
          <w:szCs w:val="32"/>
        </w:rPr>
      </w:pPr>
      <w:r>
        <w:rPr>
          <w:rFonts w:eastAsia="仿宋_GB2312"/>
          <w:color w:val="000000"/>
          <w:sz w:val="32"/>
          <w:szCs w:val="32"/>
        </w:rPr>
        <w:t>8.智能机器人</w:t>
      </w:r>
    </w:p>
    <w:p>
      <w:pPr>
        <w:pStyle w:val="3"/>
        <w:autoSpaceDE w:val="0"/>
        <w:adjustRightInd w:val="0"/>
        <w:snapToGrid w:val="0"/>
        <w:spacing w:line="590" w:lineRule="exact"/>
        <w:ind w:firstLine="640" w:firstLineChars="200"/>
        <w:rPr>
          <w:rFonts w:eastAsia="仿宋_GB2312"/>
          <w:color w:val="000000"/>
          <w:sz w:val="32"/>
          <w:szCs w:val="32"/>
        </w:rPr>
      </w:pPr>
      <w:r>
        <w:rPr>
          <w:rFonts w:eastAsia="仿宋_GB2312"/>
          <w:color w:val="000000"/>
          <w:sz w:val="32"/>
          <w:szCs w:val="32"/>
        </w:rPr>
        <w:t>支持智能分拣、物流搬运、柔性操作、识别解析等行业服务机器人的研发和产业化，支持具备人机交互、多模式人体识别、语音语义及情感识别能力的智能服务机器人研发及产业化，支持无人机飞控、智能机器人动力系统核心零部件等技术研发。</w:t>
      </w:r>
    </w:p>
    <w:p>
      <w:pPr>
        <w:pStyle w:val="3"/>
        <w:autoSpaceDE w:val="0"/>
        <w:adjustRightInd w:val="0"/>
        <w:snapToGrid w:val="0"/>
        <w:spacing w:line="590" w:lineRule="exact"/>
        <w:ind w:firstLine="640" w:firstLineChars="200"/>
        <w:rPr>
          <w:rFonts w:eastAsia="仿宋_GB2312"/>
          <w:color w:val="000000"/>
          <w:sz w:val="32"/>
          <w:szCs w:val="32"/>
        </w:rPr>
      </w:pPr>
      <w:r>
        <w:rPr>
          <w:rFonts w:eastAsia="仿宋_GB2312"/>
          <w:color w:val="000000"/>
          <w:sz w:val="32"/>
          <w:szCs w:val="32"/>
        </w:rPr>
        <w:t>9.智能驾驶系统</w:t>
      </w:r>
    </w:p>
    <w:p>
      <w:pPr>
        <w:pStyle w:val="3"/>
        <w:autoSpaceDE w:val="0"/>
        <w:adjustRightInd w:val="0"/>
        <w:snapToGrid w:val="0"/>
        <w:spacing w:line="590" w:lineRule="exact"/>
        <w:ind w:firstLine="640" w:firstLineChars="200"/>
        <w:rPr>
          <w:rFonts w:eastAsia="仿宋_GB2312"/>
          <w:color w:val="000000"/>
          <w:sz w:val="32"/>
          <w:szCs w:val="32"/>
        </w:rPr>
      </w:pPr>
      <w:r>
        <w:rPr>
          <w:rFonts w:eastAsia="仿宋_GB2312"/>
          <w:color w:val="000000"/>
          <w:sz w:val="32"/>
          <w:szCs w:val="32"/>
        </w:rPr>
        <w:t>支持基于人工智能、5G通信、车联网和大数据等多技术融合的自动驾驶、自主泊车、车路协同等关键技术创新，以及智能座舱等车用终端产品的研发及产业化。支持具有自动感知、智能避障及自主行驶无人机、无人船等无人系统的研发及产业化。</w:t>
      </w:r>
    </w:p>
    <w:p>
      <w:pPr>
        <w:pStyle w:val="3"/>
        <w:autoSpaceDE w:val="0"/>
        <w:adjustRightInd w:val="0"/>
        <w:snapToGrid w:val="0"/>
        <w:spacing w:line="590" w:lineRule="exact"/>
        <w:ind w:firstLine="640" w:firstLineChars="200"/>
        <w:rPr>
          <w:rFonts w:eastAsia="仿宋_GB2312"/>
          <w:color w:val="000000"/>
          <w:sz w:val="32"/>
          <w:szCs w:val="32"/>
        </w:rPr>
      </w:pPr>
      <w:r>
        <w:rPr>
          <w:rFonts w:eastAsia="仿宋_GB2312"/>
          <w:color w:val="000000"/>
          <w:sz w:val="32"/>
          <w:szCs w:val="32"/>
        </w:rPr>
        <w:t>10.智慧物流</w:t>
      </w:r>
    </w:p>
    <w:p>
      <w:pPr>
        <w:pStyle w:val="3"/>
        <w:autoSpaceDE w:val="0"/>
        <w:adjustRightInd w:val="0"/>
        <w:snapToGrid w:val="0"/>
        <w:spacing w:line="590" w:lineRule="exact"/>
        <w:ind w:firstLine="640" w:firstLineChars="200"/>
        <w:rPr>
          <w:rFonts w:eastAsia="仿宋_GB2312"/>
          <w:color w:val="000000"/>
          <w:sz w:val="32"/>
          <w:szCs w:val="32"/>
        </w:rPr>
      </w:pPr>
      <w:r>
        <w:rPr>
          <w:rFonts w:eastAsia="仿宋_GB2312"/>
          <w:color w:val="000000"/>
          <w:sz w:val="32"/>
          <w:szCs w:val="32"/>
        </w:rPr>
        <w:t>支持基于条形码、射频识别技术、传感器、全球定位系统等先进的物联网技术，通过信息处理和网络通信技术平台，广泛应用于物流业运输、仓储、配送、包装、装卸等基本活动环节，实现货物运输过程的自动化运作和高效率优化管理，提高物流行业的服务水平。</w:t>
      </w:r>
    </w:p>
    <w:p>
      <w:pPr>
        <w:pStyle w:val="3"/>
        <w:autoSpaceDE w:val="0"/>
        <w:adjustRightInd w:val="0"/>
        <w:snapToGrid w:val="0"/>
        <w:spacing w:line="590" w:lineRule="exact"/>
        <w:ind w:firstLine="640" w:firstLineChars="200"/>
        <w:rPr>
          <w:rFonts w:eastAsia="仿宋_GB2312"/>
          <w:color w:val="000000"/>
          <w:sz w:val="32"/>
          <w:szCs w:val="32"/>
        </w:rPr>
      </w:pPr>
      <w:r>
        <w:rPr>
          <w:rFonts w:eastAsia="仿宋_GB2312"/>
          <w:color w:val="000000"/>
          <w:sz w:val="32"/>
          <w:szCs w:val="32"/>
        </w:rPr>
        <w:t>11.VR/AR应用</w:t>
      </w:r>
    </w:p>
    <w:p>
      <w:pPr>
        <w:pStyle w:val="3"/>
        <w:autoSpaceDE w:val="0"/>
        <w:adjustRightInd w:val="0"/>
        <w:snapToGrid w:val="0"/>
        <w:spacing w:line="590" w:lineRule="exact"/>
        <w:ind w:firstLine="640" w:firstLineChars="200"/>
        <w:rPr>
          <w:rFonts w:eastAsia="仿宋_GB2312"/>
          <w:color w:val="000000"/>
          <w:sz w:val="32"/>
          <w:szCs w:val="32"/>
        </w:rPr>
      </w:pPr>
      <w:r>
        <w:rPr>
          <w:rFonts w:eastAsia="仿宋_GB2312"/>
          <w:color w:val="000000"/>
          <w:sz w:val="32"/>
          <w:szCs w:val="32"/>
        </w:rPr>
        <w:t>支持人工智能与虚拟现实、增强现实相结合的智能眼镜、智能穿戴数字技术创新，建立用户与虚拟场景的互动交互。支持具备VR/AR、人机交互、多模式人体识别、图像分析等技术的元宇宙应用开发。</w:t>
      </w:r>
    </w:p>
    <w:p>
      <w:pPr>
        <w:pStyle w:val="3"/>
        <w:autoSpaceDE w:val="0"/>
        <w:adjustRightInd w:val="0"/>
        <w:snapToGrid w:val="0"/>
        <w:spacing w:line="590" w:lineRule="exact"/>
        <w:ind w:firstLine="640" w:firstLineChars="200"/>
        <w:rPr>
          <w:rFonts w:eastAsia="仿宋_GB2312"/>
          <w:color w:val="000000"/>
          <w:sz w:val="32"/>
          <w:szCs w:val="32"/>
        </w:rPr>
      </w:pPr>
      <w:r>
        <w:rPr>
          <w:rFonts w:eastAsia="仿宋_GB2312"/>
          <w:color w:val="000000"/>
          <w:sz w:val="32"/>
          <w:szCs w:val="32"/>
        </w:rPr>
        <w:t>12.智能特色领域技术创新</w:t>
      </w:r>
    </w:p>
    <w:p>
      <w:pPr>
        <w:pStyle w:val="3"/>
        <w:autoSpaceDE w:val="0"/>
        <w:adjustRightInd w:val="0"/>
        <w:snapToGrid w:val="0"/>
        <w:spacing w:line="590" w:lineRule="exact"/>
        <w:ind w:firstLine="640" w:firstLineChars="200"/>
        <w:rPr>
          <w:rFonts w:eastAsia="仿宋_GB2312"/>
          <w:color w:val="000000"/>
          <w:sz w:val="32"/>
          <w:szCs w:val="32"/>
        </w:rPr>
      </w:pPr>
      <w:r>
        <w:rPr>
          <w:rFonts w:eastAsia="仿宋_GB2312"/>
          <w:color w:val="000000"/>
          <w:sz w:val="32"/>
          <w:szCs w:val="32"/>
        </w:rPr>
        <w:t>支持贸易、农业、冶金、医疗、海关等场景，探索开展人工智能技术创新，图像识别、机器翻译、医疗影像智能检测、边境安防等人工智能技术研发和应用。</w:t>
      </w:r>
    </w:p>
    <w:p>
      <w:pPr>
        <w:pStyle w:val="6"/>
        <w:numPr>
          <w:ilvl w:val="255"/>
          <w:numId w:val="0"/>
        </w:numPr>
        <w:adjustRightInd w:val="0"/>
        <w:snapToGrid w:val="0"/>
        <w:spacing w:line="590" w:lineRule="exact"/>
        <w:ind w:left="640"/>
        <w:rPr>
          <w:rFonts w:eastAsia="黑体"/>
          <w:sz w:val="32"/>
          <w:szCs w:val="32"/>
        </w:rPr>
      </w:pPr>
      <w:r>
        <w:rPr>
          <w:rFonts w:eastAsia="黑体"/>
          <w:sz w:val="32"/>
          <w:szCs w:val="32"/>
        </w:rPr>
        <w:t>二、申报要求</w:t>
      </w:r>
    </w:p>
    <w:p>
      <w:pPr>
        <w:pStyle w:val="3"/>
        <w:adjustRightInd w:val="0"/>
        <w:snapToGrid w:val="0"/>
        <w:spacing w:line="590" w:lineRule="exact"/>
        <w:ind w:firstLine="640" w:firstLineChars="200"/>
        <w:rPr>
          <w:sz w:val="32"/>
          <w:szCs w:val="32"/>
        </w:rPr>
      </w:pPr>
      <w:r>
        <w:rPr>
          <w:rFonts w:eastAsia="楷体"/>
          <w:sz w:val="32"/>
          <w:szCs w:val="32"/>
        </w:rPr>
        <w:t>（一）人工智能现金补贴</w:t>
      </w:r>
    </w:p>
    <w:p>
      <w:pPr>
        <w:pStyle w:val="3"/>
        <w:autoSpaceDE w:val="0"/>
        <w:adjustRightInd w:val="0"/>
        <w:snapToGrid w:val="0"/>
        <w:spacing w:line="590" w:lineRule="exact"/>
        <w:ind w:firstLine="640" w:firstLineChars="200"/>
        <w:rPr>
          <w:rFonts w:eastAsia="仿宋_GB2312"/>
          <w:color w:val="000000"/>
          <w:sz w:val="32"/>
          <w:szCs w:val="32"/>
        </w:rPr>
      </w:pPr>
      <w:r>
        <w:rPr>
          <w:rFonts w:eastAsia="仿宋_GB2312"/>
          <w:color w:val="000000"/>
          <w:sz w:val="32"/>
          <w:szCs w:val="32"/>
        </w:rPr>
        <w:t>1.人工智能示范应用</w:t>
      </w:r>
    </w:p>
    <w:p>
      <w:pPr>
        <w:pStyle w:val="3"/>
        <w:autoSpaceDE w:val="0"/>
        <w:adjustRightInd w:val="0"/>
        <w:snapToGrid w:val="0"/>
        <w:spacing w:line="590" w:lineRule="exact"/>
        <w:ind w:firstLine="640" w:firstLineChars="200"/>
        <w:rPr>
          <w:rFonts w:eastAsia="仿宋_GB2312"/>
          <w:color w:val="000000"/>
          <w:sz w:val="32"/>
          <w:szCs w:val="32"/>
        </w:rPr>
      </w:pPr>
      <w:r>
        <w:rPr>
          <w:rFonts w:eastAsia="仿宋_GB2312"/>
          <w:color w:val="000000"/>
          <w:sz w:val="32"/>
          <w:szCs w:val="32"/>
        </w:rPr>
        <w:t>主要面向广西区内有人工智能项目建设需求的企事业单位、高等院校、科研单位、社会团体等机构，支持其建设能对行业或领域有较好示范意义的、能产生较好的经济和社会效益的、具备较好推广前景的项目，优先支持数字广西建设标杆引领重点示范项目（企业、平台）。原则上现金补贴金额不超过项目总投入（人工智能相关硬件设备，端侧推理服务器，软件接口集成，人力开发等）金额的30%。同一家单位每年只能申报1个项目，同一项目只能由一个单位提出申请。</w:t>
      </w:r>
    </w:p>
    <w:p>
      <w:pPr>
        <w:pStyle w:val="3"/>
        <w:autoSpaceDE w:val="0"/>
        <w:adjustRightInd w:val="0"/>
        <w:snapToGrid w:val="0"/>
        <w:spacing w:line="590" w:lineRule="exact"/>
        <w:ind w:firstLine="640" w:firstLineChars="200"/>
        <w:rPr>
          <w:rFonts w:eastAsia="仿宋_GB2312"/>
          <w:color w:val="000000"/>
          <w:sz w:val="32"/>
          <w:szCs w:val="32"/>
        </w:rPr>
      </w:pPr>
      <w:r>
        <w:rPr>
          <w:rFonts w:eastAsia="仿宋_GB2312"/>
          <w:color w:val="000000"/>
          <w:sz w:val="32"/>
          <w:szCs w:val="32"/>
        </w:rPr>
        <w:t>2.人工智能基础服务平台建设</w:t>
      </w:r>
    </w:p>
    <w:p>
      <w:pPr>
        <w:pStyle w:val="3"/>
        <w:autoSpaceDE w:val="0"/>
        <w:adjustRightInd w:val="0"/>
        <w:snapToGrid w:val="0"/>
        <w:spacing w:line="590" w:lineRule="exact"/>
        <w:ind w:firstLine="640" w:firstLineChars="200"/>
        <w:rPr>
          <w:rFonts w:eastAsia="仿宋_GB2312"/>
          <w:color w:val="000000"/>
          <w:sz w:val="32"/>
          <w:szCs w:val="32"/>
        </w:rPr>
      </w:pPr>
      <w:r>
        <w:rPr>
          <w:rFonts w:eastAsia="仿宋_GB2312"/>
          <w:color w:val="000000"/>
          <w:sz w:val="32"/>
          <w:szCs w:val="32"/>
        </w:rPr>
        <w:t>主要面向广西区内开展人工智能及大数据人才培养或服务咨询的院校、科研单位、培训机构等，支持其建设具备相关专业服务资质的服务平台，加强人才培养、科研交流、大赛举办、职业资格认证等方面。同一家单位每年只能申报3个项目，同一项目只能由一个单位提出申请。</w:t>
      </w:r>
    </w:p>
    <w:p>
      <w:pPr>
        <w:pStyle w:val="3"/>
        <w:autoSpaceDE w:val="0"/>
        <w:adjustRightInd w:val="0"/>
        <w:snapToGrid w:val="0"/>
        <w:spacing w:line="590" w:lineRule="exact"/>
        <w:ind w:firstLine="640" w:firstLineChars="200"/>
        <w:rPr>
          <w:rFonts w:eastAsia="仿宋_GB2312"/>
          <w:color w:val="000000"/>
          <w:sz w:val="32"/>
          <w:szCs w:val="32"/>
        </w:rPr>
      </w:pPr>
      <w:r>
        <w:rPr>
          <w:rFonts w:eastAsia="仿宋_GB2312"/>
          <w:color w:val="000000"/>
          <w:sz w:val="32"/>
          <w:szCs w:val="32"/>
        </w:rPr>
        <w:t>3.人工智能技术创新</w:t>
      </w:r>
    </w:p>
    <w:p>
      <w:pPr>
        <w:pStyle w:val="3"/>
        <w:autoSpaceDE w:val="0"/>
        <w:adjustRightInd w:val="0"/>
        <w:snapToGrid w:val="0"/>
        <w:spacing w:line="590" w:lineRule="exact"/>
        <w:ind w:firstLine="640" w:firstLineChars="200"/>
        <w:rPr>
          <w:rFonts w:eastAsia="方正仿宋_GBK"/>
          <w:sz w:val="32"/>
          <w:szCs w:val="32"/>
        </w:rPr>
      </w:pPr>
      <w:r>
        <w:rPr>
          <w:rFonts w:eastAsia="仿宋_GB2312"/>
          <w:color w:val="000000"/>
          <w:sz w:val="32"/>
          <w:szCs w:val="32"/>
        </w:rPr>
        <w:t>主要面向广西区内开展科技创新、科研成果转化或产业化投资的企事业单位、科研机构等，要求技术储备充足、投资计划完备、产权归属清晰，并且可产生一定自主创新性成果，可有效提升相关领域技术水平或完善产业链条。同一家单位每年只能申报1个项目，同一项目只能由一个单位</w:t>
      </w:r>
      <w:r>
        <w:rPr>
          <w:rFonts w:eastAsia="仿宋_GB2312"/>
          <w:sz w:val="32"/>
          <w:szCs w:val="32"/>
        </w:rPr>
        <w:t>提出申请。</w:t>
      </w:r>
    </w:p>
    <w:p>
      <w:pPr>
        <w:pStyle w:val="6"/>
        <w:adjustRightInd w:val="0"/>
        <w:snapToGrid w:val="0"/>
        <w:spacing w:line="590" w:lineRule="exact"/>
        <w:ind w:firstLine="640"/>
        <w:rPr>
          <w:rFonts w:eastAsia="方正楷体_GBK"/>
          <w:sz w:val="32"/>
          <w:szCs w:val="32"/>
        </w:rPr>
      </w:pPr>
      <w:r>
        <w:rPr>
          <w:rFonts w:eastAsia="楷体"/>
          <w:sz w:val="32"/>
          <w:szCs w:val="32"/>
        </w:rPr>
        <w:t>（二）人工智能云资源补贴</w:t>
      </w:r>
    </w:p>
    <w:p>
      <w:pPr>
        <w:pStyle w:val="3"/>
        <w:autoSpaceDE w:val="0"/>
        <w:adjustRightInd w:val="0"/>
        <w:snapToGrid w:val="0"/>
        <w:spacing w:line="590" w:lineRule="exact"/>
        <w:ind w:firstLine="640" w:firstLineChars="200"/>
        <w:rPr>
          <w:rFonts w:eastAsia="仿宋_GB2312"/>
          <w:color w:val="000000"/>
          <w:sz w:val="32"/>
          <w:szCs w:val="32"/>
        </w:rPr>
      </w:pPr>
      <w:r>
        <w:rPr>
          <w:rFonts w:eastAsia="仿宋_GB2312"/>
          <w:color w:val="000000"/>
          <w:sz w:val="32"/>
          <w:szCs w:val="32"/>
        </w:rPr>
        <w:t>1.人工智能示范应用</w:t>
      </w:r>
    </w:p>
    <w:p>
      <w:pPr>
        <w:pStyle w:val="3"/>
        <w:autoSpaceDE w:val="0"/>
        <w:adjustRightInd w:val="0"/>
        <w:snapToGrid w:val="0"/>
        <w:spacing w:line="590" w:lineRule="exact"/>
        <w:ind w:firstLine="640" w:firstLineChars="200"/>
        <w:rPr>
          <w:rFonts w:eastAsia="仿宋_GB2312"/>
          <w:color w:val="000000"/>
          <w:sz w:val="32"/>
          <w:szCs w:val="32"/>
        </w:rPr>
      </w:pPr>
      <w:r>
        <w:rPr>
          <w:rFonts w:eastAsia="仿宋_GB2312"/>
          <w:color w:val="000000"/>
          <w:sz w:val="32"/>
          <w:szCs w:val="32"/>
        </w:rPr>
        <w:t>主要面向广西区内有人工智能项目建设需求的各级党政机关、企事业单位、高等院校、科研单位、社会团体等机构，要求人工智能项目处于在建状态，并且不超出补贴支持范围。具体根据项目建设运行的需要，按资源补贴清单（详见附件2-1）提出。同一家单位每年只能申报1个项目，同一项目只能由一个单位提出申请。</w:t>
      </w:r>
    </w:p>
    <w:p>
      <w:pPr>
        <w:pStyle w:val="3"/>
        <w:autoSpaceDE w:val="0"/>
        <w:adjustRightInd w:val="0"/>
        <w:snapToGrid w:val="0"/>
        <w:spacing w:line="590" w:lineRule="exact"/>
        <w:ind w:firstLine="640" w:firstLineChars="200"/>
        <w:rPr>
          <w:rFonts w:eastAsia="仿宋_GB2312"/>
          <w:color w:val="000000"/>
          <w:sz w:val="32"/>
          <w:szCs w:val="32"/>
        </w:rPr>
      </w:pPr>
      <w:r>
        <w:rPr>
          <w:rFonts w:eastAsia="仿宋_GB2312"/>
          <w:color w:val="000000"/>
          <w:sz w:val="32"/>
          <w:szCs w:val="32"/>
        </w:rPr>
        <w:t>2.人工智能基础服务平台建设</w:t>
      </w:r>
    </w:p>
    <w:p>
      <w:pPr>
        <w:pStyle w:val="3"/>
        <w:autoSpaceDE w:val="0"/>
        <w:adjustRightInd w:val="0"/>
        <w:snapToGrid w:val="0"/>
        <w:spacing w:line="590" w:lineRule="exact"/>
        <w:ind w:firstLine="640" w:firstLineChars="200"/>
        <w:rPr>
          <w:rFonts w:eastAsia="仿宋_GB2312"/>
          <w:color w:val="000000"/>
          <w:sz w:val="32"/>
          <w:szCs w:val="32"/>
        </w:rPr>
      </w:pPr>
      <w:r>
        <w:rPr>
          <w:rFonts w:eastAsia="仿宋_GB2312"/>
          <w:color w:val="000000"/>
          <w:sz w:val="32"/>
          <w:szCs w:val="32"/>
        </w:rPr>
        <w:t>主要面向广西区内开展人工智能及大数据人才培养或服务咨询的院校、科研机构、培训机构等，要求报单位具备相关专业服务资质，在2022年有较明确的人工智能相关方向人才培养计划或服务配套。具体根据开展相关课程建设或服务咨询的需求，按资源补贴清单（详见附件2-1）提出。同一家单位每年只能申报3个项目，同一项目只能由一个单位提出申请。</w:t>
      </w:r>
    </w:p>
    <w:p>
      <w:pPr>
        <w:pStyle w:val="3"/>
        <w:autoSpaceDE w:val="0"/>
        <w:adjustRightInd w:val="0"/>
        <w:snapToGrid w:val="0"/>
        <w:spacing w:line="590" w:lineRule="exact"/>
        <w:ind w:firstLine="640" w:firstLineChars="200"/>
        <w:rPr>
          <w:rFonts w:eastAsia="仿宋_GB2312"/>
          <w:color w:val="000000"/>
          <w:sz w:val="32"/>
          <w:szCs w:val="32"/>
        </w:rPr>
      </w:pPr>
      <w:r>
        <w:rPr>
          <w:rFonts w:eastAsia="仿宋_GB2312"/>
          <w:color w:val="000000"/>
          <w:sz w:val="32"/>
          <w:szCs w:val="32"/>
        </w:rPr>
        <w:t>3.人工智能技术创新</w:t>
      </w:r>
    </w:p>
    <w:p>
      <w:pPr>
        <w:pStyle w:val="3"/>
        <w:autoSpaceDE w:val="0"/>
        <w:adjustRightInd w:val="0"/>
        <w:snapToGrid w:val="0"/>
        <w:spacing w:line="590" w:lineRule="exact"/>
        <w:ind w:firstLine="640" w:firstLineChars="200"/>
        <w:rPr>
          <w:rFonts w:eastAsia="方正仿宋_GBK"/>
          <w:snapToGrid w:val="0"/>
          <w:sz w:val="32"/>
          <w:szCs w:val="32"/>
          <w:u w:color="000000"/>
        </w:rPr>
      </w:pPr>
      <w:r>
        <w:rPr>
          <w:rFonts w:eastAsia="仿宋_GB2312"/>
          <w:color w:val="000000"/>
          <w:sz w:val="32"/>
          <w:szCs w:val="32"/>
        </w:rPr>
        <w:t>主要面向广西区内开展科技创新、科研成果转化或产业化投资的科研机构、企事业单位、高等院校、科研单位、社会团体等机构等，要求申报单位具备技术、产权等基础条件，在2022年有较明确的投入产出计划。根据开展相关项目所需云服务资源，按资源补贴清单（详见附件2-1）提出。同一家单位每年只能申报1个项目，同一项目只能由一个单位提出</w:t>
      </w:r>
      <w:r>
        <w:rPr>
          <w:rFonts w:eastAsia="仿宋_GB2312"/>
          <w:sz w:val="32"/>
          <w:szCs w:val="32"/>
        </w:rPr>
        <w:t>申请。</w:t>
      </w:r>
    </w:p>
    <w:p>
      <w:pPr>
        <w:spacing w:line="600" w:lineRule="exact"/>
        <w:ind w:firstLine="640" w:firstLineChars="200"/>
        <w:rPr>
          <w:rFonts w:eastAsia="方正仿宋_GBK"/>
          <w:sz w:val="32"/>
          <w:szCs w:val="32"/>
        </w:rPr>
      </w:pPr>
      <w:r>
        <w:rPr>
          <w:rFonts w:eastAsia="方正黑体_GBK"/>
          <w:sz w:val="32"/>
          <w:szCs w:val="32"/>
        </w:rPr>
        <w:br w:type="page"/>
      </w:r>
    </w:p>
    <w:p>
      <w:pPr>
        <w:spacing w:line="600" w:lineRule="exact"/>
        <w:rPr>
          <w:rFonts w:eastAsia="黑体"/>
          <w:sz w:val="32"/>
          <w:szCs w:val="32"/>
        </w:rPr>
      </w:pPr>
      <w:r>
        <w:rPr>
          <w:rFonts w:eastAsia="黑体"/>
          <w:sz w:val="32"/>
          <w:szCs w:val="32"/>
        </w:rPr>
        <w:t>附件2-1</w:t>
      </w:r>
    </w:p>
    <w:p>
      <w:pPr>
        <w:spacing w:line="600" w:lineRule="exact"/>
        <w:rPr>
          <w:rFonts w:eastAsia="方正黑体_GBK"/>
          <w:sz w:val="32"/>
          <w:szCs w:val="32"/>
        </w:rPr>
      </w:pPr>
    </w:p>
    <w:p>
      <w:pPr>
        <w:adjustRightInd w:val="0"/>
        <w:spacing w:before="120" w:beforeLines="50" w:after="120" w:afterLines="50" w:line="580" w:lineRule="exact"/>
        <w:jc w:val="center"/>
        <w:rPr>
          <w:rFonts w:eastAsia="方正小标宋简体"/>
          <w:bCs/>
          <w:sz w:val="44"/>
          <w:szCs w:val="44"/>
        </w:rPr>
      </w:pPr>
      <w:r>
        <w:rPr>
          <w:rFonts w:hint="eastAsia" w:eastAsia="方正小标宋简体"/>
          <w:bCs/>
          <w:sz w:val="44"/>
          <w:szCs w:val="44"/>
          <w:lang w:eastAsia="zh-CN"/>
        </w:rPr>
        <w:t>中国—东盟</w:t>
      </w:r>
      <w:r>
        <w:rPr>
          <w:rFonts w:eastAsia="方正小标宋简体"/>
          <w:bCs/>
          <w:sz w:val="44"/>
          <w:szCs w:val="44"/>
        </w:rPr>
        <w:t>（华为）人工智能创新中心</w:t>
      </w:r>
    </w:p>
    <w:p>
      <w:pPr>
        <w:adjustRightInd w:val="0"/>
        <w:spacing w:before="120" w:beforeLines="50" w:after="120" w:afterLines="50" w:line="580" w:lineRule="exact"/>
        <w:jc w:val="center"/>
        <w:rPr>
          <w:rFonts w:eastAsia="方正小标宋_GBK"/>
          <w:bCs/>
          <w:sz w:val="44"/>
          <w:szCs w:val="44"/>
        </w:rPr>
      </w:pPr>
      <w:r>
        <w:rPr>
          <w:rFonts w:eastAsia="方正小标宋简体"/>
          <w:bCs/>
          <w:sz w:val="44"/>
          <w:szCs w:val="44"/>
        </w:rPr>
        <w:t>2022年专项补贴云资源清单</w:t>
      </w:r>
    </w:p>
    <w:p>
      <w:pPr>
        <w:snapToGrid w:val="0"/>
        <w:spacing w:line="590" w:lineRule="exact"/>
        <w:jc w:val="center"/>
        <w:rPr>
          <w:rFonts w:eastAsia="仿宋"/>
          <w:b/>
          <w:kern w:val="0"/>
          <w:sz w:val="32"/>
          <w:szCs w:val="32"/>
        </w:rPr>
      </w:pPr>
    </w:p>
    <w:tbl>
      <w:tblPr>
        <w:tblStyle w:val="4"/>
        <w:tblW w:w="9407" w:type="dxa"/>
        <w:tblInd w:w="113" w:type="dxa"/>
        <w:tblLayout w:type="fixed"/>
        <w:tblCellMar>
          <w:top w:w="0" w:type="dxa"/>
          <w:left w:w="108" w:type="dxa"/>
          <w:bottom w:w="0" w:type="dxa"/>
          <w:right w:w="108" w:type="dxa"/>
        </w:tblCellMar>
      </w:tblPr>
      <w:tblGrid>
        <w:gridCol w:w="765"/>
        <w:gridCol w:w="643"/>
        <w:gridCol w:w="709"/>
        <w:gridCol w:w="3827"/>
        <w:gridCol w:w="992"/>
        <w:gridCol w:w="1231"/>
        <w:gridCol w:w="1240"/>
      </w:tblGrid>
      <w:tr>
        <w:tblPrEx>
          <w:tblCellMar>
            <w:top w:w="0" w:type="dxa"/>
            <w:left w:w="108" w:type="dxa"/>
            <w:bottom w:w="0" w:type="dxa"/>
            <w:right w:w="108" w:type="dxa"/>
          </w:tblCellMar>
        </w:tblPrEx>
        <w:trPr>
          <w:trHeight w:val="648" w:hRule="atLeast"/>
        </w:trPr>
        <w:tc>
          <w:tcPr>
            <w:tcW w:w="9407"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黑体"/>
                <w:b/>
                <w:bCs/>
                <w:sz w:val="28"/>
                <w:szCs w:val="28"/>
              </w:rPr>
            </w:pPr>
            <w:r>
              <w:rPr>
                <w:rFonts w:eastAsia="黑体"/>
                <w:b/>
                <w:sz w:val="28"/>
                <w:szCs w:val="28"/>
              </w:rPr>
              <w:t>一、华为AI使能服务</w:t>
            </w:r>
          </w:p>
        </w:tc>
      </w:tr>
      <w:tr>
        <w:tblPrEx>
          <w:tblCellMar>
            <w:top w:w="0" w:type="dxa"/>
            <w:left w:w="108" w:type="dxa"/>
            <w:bottom w:w="0" w:type="dxa"/>
            <w:right w:w="108" w:type="dxa"/>
          </w:tblCellMar>
        </w:tblPrEx>
        <w:trPr>
          <w:trHeight w:val="280" w:hRule="atLeast"/>
        </w:trPr>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b/>
                <w:bCs/>
                <w:sz w:val="18"/>
                <w:szCs w:val="18"/>
              </w:rPr>
            </w:pPr>
            <w:r>
              <w:rPr>
                <w:rFonts w:eastAsia="仿宋"/>
                <w:b/>
                <w:bCs/>
                <w:sz w:val="18"/>
                <w:szCs w:val="18"/>
              </w:rPr>
              <w:t>分类</w:t>
            </w:r>
          </w:p>
        </w:tc>
        <w:tc>
          <w:tcPr>
            <w:tcW w:w="6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
                <w:b/>
                <w:bCs/>
                <w:sz w:val="18"/>
                <w:szCs w:val="18"/>
              </w:rPr>
            </w:pPr>
            <w:r>
              <w:rPr>
                <w:rFonts w:eastAsia="仿宋"/>
                <w:b/>
                <w:bCs/>
                <w:sz w:val="18"/>
                <w:szCs w:val="18"/>
              </w:rPr>
              <w:t>序号</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
                <w:b/>
                <w:bCs/>
                <w:sz w:val="18"/>
                <w:szCs w:val="18"/>
              </w:rPr>
            </w:pPr>
            <w:r>
              <w:rPr>
                <w:rFonts w:eastAsia="仿宋"/>
                <w:b/>
                <w:bCs/>
                <w:sz w:val="18"/>
                <w:szCs w:val="18"/>
              </w:rPr>
              <w:t>服务名称</w:t>
            </w:r>
          </w:p>
        </w:tc>
        <w:tc>
          <w:tcPr>
            <w:tcW w:w="38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
                <w:b/>
                <w:bCs/>
                <w:sz w:val="18"/>
                <w:szCs w:val="18"/>
              </w:rPr>
            </w:pPr>
            <w:r>
              <w:rPr>
                <w:rFonts w:eastAsia="仿宋"/>
                <w:b/>
                <w:bCs/>
                <w:sz w:val="18"/>
                <w:szCs w:val="18"/>
              </w:rPr>
              <w:t>服务内容</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
                <w:b/>
                <w:bCs/>
                <w:sz w:val="18"/>
                <w:szCs w:val="18"/>
              </w:rPr>
            </w:pPr>
            <w:r>
              <w:rPr>
                <w:rFonts w:eastAsia="仿宋"/>
                <w:b/>
                <w:bCs/>
                <w:sz w:val="18"/>
                <w:szCs w:val="18"/>
              </w:rPr>
              <w:t>单位</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
                <w:b/>
                <w:bCs/>
                <w:sz w:val="18"/>
                <w:szCs w:val="18"/>
              </w:rPr>
            </w:pPr>
            <w:r>
              <w:rPr>
                <w:rFonts w:eastAsia="仿宋"/>
                <w:b/>
                <w:bCs/>
                <w:sz w:val="18"/>
                <w:szCs w:val="18"/>
              </w:rPr>
              <w:t>价格</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
                <w:b/>
                <w:bCs/>
                <w:sz w:val="18"/>
                <w:szCs w:val="18"/>
              </w:rPr>
            </w:pPr>
            <w:r>
              <w:rPr>
                <w:rFonts w:eastAsia="仿宋"/>
                <w:b/>
                <w:bCs/>
                <w:sz w:val="18"/>
                <w:szCs w:val="18"/>
              </w:rPr>
              <w:t>总价</w:t>
            </w:r>
          </w:p>
        </w:tc>
      </w:tr>
      <w:tr>
        <w:tblPrEx>
          <w:tblCellMar>
            <w:top w:w="0" w:type="dxa"/>
            <w:left w:w="108" w:type="dxa"/>
            <w:bottom w:w="0" w:type="dxa"/>
            <w:right w:w="108" w:type="dxa"/>
          </w:tblCellMar>
        </w:tblPrEx>
        <w:trPr>
          <w:trHeight w:val="1000" w:hRule="atLeast"/>
        </w:trPr>
        <w:tc>
          <w:tcPr>
            <w:tcW w:w="765" w:type="dxa"/>
            <w:vMerge w:val="restart"/>
            <w:tcBorders>
              <w:top w:val="nil"/>
              <w:left w:val="single" w:color="auto" w:sz="4" w:space="0"/>
              <w:bottom w:val="nil"/>
              <w:right w:val="single" w:color="auto" w:sz="4" w:space="0"/>
            </w:tcBorders>
            <w:shd w:val="clear" w:color="auto" w:fill="auto"/>
            <w:vAlign w:val="center"/>
          </w:tcPr>
          <w:p>
            <w:pPr>
              <w:widowControl/>
              <w:jc w:val="center"/>
              <w:rPr>
                <w:rFonts w:eastAsia="仿宋"/>
                <w:sz w:val="18"/>
                <w:szCs w:val="18"/>
              </w:rPr>
            </w:pPr>
            <w:r>
              <w:rPr>
                <w:rFonts w:eastAsia="仿宋"/>
                <w:sz w:val="18"/>
                <w:szCs w:val="18"/>
              </w:rPr>
              <w:t>华为AI使能服务</w:t>
            </w:r>
          </w:p>
        </w:tc>
        <w:tc>
          <w:tcPr>
            <w:tcW w:w="643" w:type="dxa"/>
            <w:vMerge w:val="restart"/>
            <w:tcBorders>
              <w:top w:val="nil"/>
              <w:left w:val="nil"/>
              <w:bottom w:val="nil"/>
              <w:right w:val="single" w:color="auto" w:sz="4" w:space="0"/>
            </w:tcBorders>
            <w:shd w:val="clear" w:color="auto" w:fill="auto"/>
            <w:vAlign w:val="center"/>
          </w:tcPr>
          <w:p>
            <w:pPr>
              <w:widowControl/>
              <w:jc w:val="center"/>
              <w:rPr>
                <w:rFonts w:eastAsia="仿宋"/>
                <w:sz w:val="18"/>
                <w:szCs w:val="18"/>
              </w:rPr>
            </w:pPr>
            <w:r>
              <w:rPr>
                <w:rFonts w:eastAsia="仿宋"/>
                <w:sz w:val="18"/>
                <w:szCs w:val="18"/>
              </w:rPr>
              <w:t>1</w:t>
            </w:r>
          </w:p>
        </w:tc>
        <w:tc>
          <w:tcPr>
            <w:tcW w:w="709" w:type="dxa"/>
            <w:vMerge w:val="restart"/>
            <w:tcBorders>
              <w:top w:val="nil"/>
              <w:left w:val="nil"/>
              <w:bottom w:val="nil"/>
              <w:right w:val="single" w:color="auto" w:sz="4" w:space="0"/>
            </w:tcBorders>
            <w:shd w:val="clear" w:color="auto" w:fill="auto"/>
            <w:vAlign w:val="center"/>
          </w:tcPr>
          <w:p>
            <w:pPr>
              <w:widowControl/>
              <w:jc w:val="center"/>
              <w:rPr>
                <w:rFonts w:eastAsia="仿宋"/>
                <w:sz w:val="18"/>
                <w:szCs w:val="18"/>
              </w:rPr>
            </w:pPr>
            <w:r>
              <w:rPr>
                <w:rFonts w:eastAsia="仿宋"/>
                <w:sz w:val="18"/>
                <w:szCs w:val="18"/>
              </w:rPr>
              <w:t>AI使能基础套餐</w:t>
            </w:r>
          </w:p>
        </w:tc>
        <w:tc>
          <w:tcPr>
            <w:tcW w:w="3827" w:type="dxa"/>
            <w:tcBorders>
              <w:top w:val="nil"/>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套餐包自启用后一年内有效。</w:t>
            </w:r>
            <w:r>
              <w:rPr>
                <w:rFonts w:eastAsia="仿宋"/>
                <w:sz w:val="18"/>
                <w:szCs w:val="18"/>
              </w:rPr>
              <w:br w:type="textWrapping"/>
            </w:r>
            <w:r>
              <w:rPr>
                <w:rFonts w:eastAsia="仿宋"/>
                <w:sz w:val="18"/>
                <w:szCs w:val="18"/>
              </w:rPr>
              <w:t>1.包AI云服务资源，以下内容任选：</w:t>
            </w:r>
            <w:r>
              <w:rPr>
                <w:rFonts w:eastAsia="仿宋"/>
                <w:sz w:val="18"/>
                <w:szCs w:val="18"/>
              </w:rPr>
              <w:br w:type="textWrapping"/>
            </w:r>
            <w:r>
              <w:rPr>
                <w:rFonts w:eastAsia="仿宋"/>
                <w:sz w:val="18"/>
                <w:szCs w:val="18"/>
              </w:rPr>
              <w:t>1) 人工智能应用API(含图像内容检测、实时语音识别、人脸搜索/对比/检测、通用文字识别、图片搜索查询等20+API)</w:t>
            </w:r>
            <w:r>
              <w:rPr>
                <w:rFonts w:eastAsia="仿宋"/>
                <w:sz w:val="18"/>
                <w:szCs w:val="18"/>
              </w:rPr>
              <w:br w:type="textWrapping"/>
            </w:r>
            <w:r>
              <w:rPr>
                <w:rFonts w:eastAsia="仿宋"/>
                <w:sz w:val="18"/>
                <w:szCs w:val="18"/>
              </w:rPr>
              <w:t>2) AI开发平台ModelArts，提供模型学习训练的技术平台及资源服务</w:t>
            </w:r>
            <w:r>
              <w:rPr>
                <w:rFonts w:eastAsia="仿宋"/>
                <w:sz w:val="18"/>
                <w:szCs w:val="18"/>
              </w:rPr>
              <w:br w:type="textWrapping"/>
            </w:r>
            <w:r>
              <w:rPr>
                <w:rFonts w:eastAsia="仿宋"/>
                <w:sz w:val="18"/>
                <w:szCs w:val="18"/>
              </w:rPr>
              <w:t>3)AI大数据服务，提供数据接入、云数据迁移、数据湖工厂、数据仓库、数据湖探索等服务</w:t>
            </w:r>
            <w:r>
              <w:rPr>
                <w:rFonts w:eastAsia="仿宋"/>
                <w:sz w:val="18"/>
                <w:szCs w:val="18"/>
              </w:rPr>
              <w:br w:type="textWrapping"/>
            </w:r>
            <w:r>
              <w:rPr>
                <w:rFonts w:eastAsia="仿宋"/>
                <w:sz w:val="18"/>
                <w:szCs w:val="18"/>
              </w:rPr>
              <w:t>2.咨询服务：</w:t>
            </w:r>
          </w:p>
          <w:p>
            <w:pPr>
              <w:widowControl/>
              <w:rPr>
                <w:rFonts w:eastAsia="仿宋"/>
                <w:sz w:val="18"/>
                <w:szCs w:val="18"/>
              </w:rPr>
            </w:pPr>
            <w:r>
              <w:rPr>
                <w:rFonts w:eastAsia="仿宋"/>
                <w:sz w:val="18"/>
                <w:szCs w:val="18"/>
              </w:rPr>
              <w:t>1）帮助企业梳理自身业务与人工智能、大数据等服务的结合点，配置并开通合适的云服务</w:t>
            </w:r>
            <w:r>
              <w:rPr>
                <w:rFonts w:eastAsia="仿宋"/>
                <w:sz w:val="18"/>
                <w:szCs w:val="18"/>
              </w:rPr>
              <w:br w:type="textWrapping"/>
            </w:r>
            <w:r>
              <w:rPr>
                <w:rFonts w:eastAsia="仿宋"/>
                <w:sz w:val="18"/>
                <w:szCs w:val="18"/>
              </w:rPr>
              <w:t>2）提供5*8小时运营团队远程指导服务</w:t>
            </w:r>
          </w:p>
        </w:tc>
        <w:tc>
          <w:tcPr>
            <w:tcW w:w="992" w:type="dxa"/>
            <w:tcBorders>
              <w:top w:val="nil"/>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元/套餐包/年</w:t>
            </w:r>
          </w:p>
        </w:tc>
        <w:tc>
          <w:tcPr>
            <w:tcW w:w="1231" w:type="dxa"/>
            <w:tcBorders>
              <w:top w:val="nil"/>
              <w:left w:val="nil"/>
              <w:bottom w:val="single" w:color="auto" w:sz="4" w:space="0"/>
              <w:right w:val="single" w:color="auto" w:sz="4" w:space="0"/>
            </w:tcBorders>
            <w:shd w:val="clear" w:color="auto" w:fill="auto"/>
            <w:vAlign w:val="center"/>
          </w:tcPr>
          <w:p>
            <w:pPr>
              <w:widowControl/>
              <w:jc w:val="center"/>
              <w:rPr>
                <w:rFonts w:eastAsia="仿宋"/>
                <w:sz w:val="18"/>
                <w:szCs w:val="18"/>
              </w:rPr>
            </w:pPr>
            <w:r>
              <w:rPr>
                <w:rFonts w:eastAsia="仿宋"/>
                <w:sz w:val="18"/>
                <w:szCs w:val="18"/>
              </w:rPr>
              <w:t>¥75,000.00</w:t>
            </w:r>
          </w:p>
        </w:tc>
        <w:tc>
          <w:tcPr>
            <w:tcW w:w="1240" w:type="dxa"/>
            <w:vMerge w:val="restart"/>
            <w:tcBorders>
              <w:top w:val="nil"/>
              <w:left w:val="nil"/>
              <w:bottom w:val="nil"/>
              <w:right w:val="single" w:color="auto" w:sz="4" w:space="0"/>
            </w:tcBorders>
            <w:shd w:val="clear" w:color="auto" w:fill="auto"/>
            <w:noWrap/>
            <w:vAlign w:val="center"/>
          </w:tcPr>
          <w:p>
            <w:pPr>
              <w:widowControl/>
              <w:jc w:val="center"/>
              <w:rPr>
                <w:rFonts w:eastAsia="仿宋"/>
                <w:sz w:val="18"/>
                <w:szCs w:val="18"/>
              </w:rPr>
            </w:pPr>
            <w:r>
              <w:rPr>
                <w:rFonts w:eastAsia="仿宋"/>
                <w:sz w:val="18"/>
                <w:szCs w:val="18"/>
              </w:rPr>
              <w:t>¥100,000.00</w:t>
            </w:r>
          </w:p>
        </w:tc>
      </w:tr>
      <w:tr>
        <w:tblPrEx>
          <w:tblCellMar>
            <w:top w:w="0" w:type="dxa"/>
            <w:left w:w="108" w:type="dxa"/>
            <w:bottom w:w="0" w:type="dxa"/>
            <w:right w:w="108" w:type="dxa"/>
          </w:tblCellMar>
        </w:tblPrEx>
        <w:trPr>
          <w:trHeight w:val="1000" w:hRule="atLeast"/>
        </w:trPr>
        <w:tc>
          <w:tcPr>
            <w:tcW w:w="765" w:type="dxa"/>
            <w:vMerge w:val="continue"/>
            <w:tcBorders>
              <w:top w:val="nil"/>
              <w:left w:val="single" w:color="auto" w:sz="4" w:space="0"/>
              <w:bottom w:val="nil"/>
              <w:right w:val="single" w:color="auto" w:sz="4" w:space="0"/>
            </w:tcBorders>
            <w:shd w:val="clear" w:color="auto" w:fill="auto"/>
            <w:vAlign w:val="center"/>
          </w:tcPr>
          <w:p>
            <w:pPr>
              <w:rPr>
                <w:sz w:val="20"/>
                <w:szCs w:val="20"/>
              </w:rPr>
            </w:pPr>
          </w:p>
        </w:tc>
        <w:tc>
          <w:tcPr>
            <w:tcW w:w="643" w:type="dxa"/>
            <w:vMerge w:val="continue"/>
            <w:tcBorders>
              <w:top w:val="nil"/>
              <w:left w:val="nil"/>
              <w:bottom w:val="nil"/>
              <w:right w:val="single" w:color="auto" w:sz="4" w:space="0"/>
            </w:tcBorders>
            <w:shd w:val="clear" w:color="auto" w:fill="auto"/>
            <w:vAlign w:val="center"/>
          </w:tcPr>
          <w:p>
            <w:pPr>
              <w:rPr>
                <w:sz w:val="20"/>
                <w:szCs w:val="20"/>
              </w:rPr>
            </w:pPr>
          </w:p>
        </w:tc>
        <w:tc>
          <w:tcPr>
            <w:tcW w:w="709" w:type="dxa"/>
            <w:vMerge w:val="continue"/>
            <w:tcBorders>
              <w:top w:val="nil"/>
              <w:left w:val="nil"/>
              <w:bottom w:val="nil"/>
              <w:right w:val="single" w:color="auto" w:sz="4" w:space="0"/>
            </w:tcBorders>
            <w:shd w:val="clear" w:color="auto" w:fill="auto"/>
            <w:vAlign w:val="center"/>
          </w:tcPr>
          <w:p>
            <w:pPr>
              <w:rPr>
                <w:sz w:val="20"/>
                <w:szCs w:val="20"/>
              </w:rPr>
            </w:pPr>
          </w:p>
        </w:tc>
        <w:tc>
          <w:tcPr>
            <w:tcW w:w="3827" w:type="dxa"/>
            <w:tcBorders>
              <w:top w:val="nil"/>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推荐配置：</w:t>
            </w:r>
            <w:r>
              <w:rPr>
                <w:rFonts w:eastAsia="仿宋"/>
                <w:sz w:val="18"/>
                <w:szCs w:val="18"/>
              </w:rPr>
              <w:br w:type="textWrapping"/>
            </w:r>
            <w:r>
              <w:rPr>
                <w:rFonts w:eastAsia="仿宋"/>
                <w:sz w:val="18"/>
                <w:szCs w:val="18"/>
              </w:rPr>
              <w:t>虚机（4U8G  40G+500G硬盘）4台</w:t>
            </w:r>
          </w:p>
          <w:p>
            <w:pPr>
              <w:widowControl/>
              <w:rPr>
                <w:rFonts w:eastAsia="仿宋"/>
                <w:sz w:val="18"/>
                <w:szCs w:val="18"/>
              </w:rPr>
            </w:pPr>
            <w:r>
              <w:rPr>
                <w:rFonts w:eastAsia="仿宋"/>
                <w:sz w:val="18"/>
                <w:szCs w:val="18"/>
              </w:rPr>
              <w:t>EIP  2个</w:t>
            </w:r>
          </w:p>
          <w:p>
            <w:pPr>
              <w:widowControl/>
              <w:rPr>
                <w:rFonts w:eastAsia="仿宋"/>
                <w:sz w:val="18"/>
                <w:szCs w:val="18"/>
              </w:rPr>
            </w:pPr>
            <w:r>
              <w:rPr>
                <w:rFonts w:eastAsia="仿宋"/>
                <w:sz w:val="18"/>
                <w:szCs w:val="18"/>
              </w:rPr>
              <w:t>带宽（5M） 2个</w:t>
            </w:r>
          </w:p>
          <w:p>
            <w:pPr>
              <w:widowControl/>
              <w:rPr>
                <w:rFonts w:eastAsia="仿宋"/>
                <w:sz w:val="18"/>
                <w:szCs w:val="18"/>
              </w:rPr>
            </w:pPr>
            <w:r>
              <w:rPr>
                <w:rFonts w:eastAsia="仿宋"/>
                <w:sz w:val="18"/>
                <w:szCs w:val="18"/>
              </w:rPr>
              <w:t>RDS_MySQL（2U4G 300G存储） 1个</w:t>
            </w:r>
          </w:p>
          <w:p>
            <w:pPr>
              <w:widowControl/>
              <w:rPr>
                <w:rFonts w:eastAsia="仿宋"/>
                <w:sz w:val="18"/>
                <w:szCs w:val="18"/>
              </w:rPr>
            </w:pPr>
            <w:r>
              <w:rPr>
                <w:rFonts w:eastAsia="仿宋"/>
                <w:sz w:val="18"/>
                <w:szCs w:val="18"/>
              </w:rPr>
              <w:t>OBS(500G存储)  1个</w:t>
            </w:r>
          </w:p>
        </w:tc>
        <w:tc>
          <w:tcPr>
            <w:tcW w:w="992" w:type="dxa"/>
            <w:tcBorders>
              <w:top w:val="nil"/>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元/套餐包/年</w:t>
            </w:r>
          </w:p>
        </w:tc>
        <w:tc>
          <w:tcPr>
            <w:tcW w:w="1231" w:type="dxa"/>
            <w:tcBorders>
              <w:top w:val="nil"/>
              <w:left w:val="nil"/>
              <w:bottom w:val="single" w:color="auto" w:sz="4" w:space="0"/>
              <w:right w:val="single" w:color="auto" w:sz="4" w:space="0"/>
            </w:tcBorders>
            <w:shd w:val="clear" w:color="auto" w:fill="auto"/>
            <w:vAlign w:val="center"/>
          </w:tcPr>
          <w:p>
            <w:pPr>
              <w:widowControl/>
              <w:jc w:val="center"/>
              <w:rPr>
                <w:rFonts w:eastAsia="仿宋"/>
                <w:sz w:val="18"/>
                <w:szCs w:val="18"/>
              </w:rPr>
            </w:pPr>
            <w:r>
              <w:rPr>
                <w:rFonts w:eastAsia="仿宋"/>
                <w:sz w:val="18"/>
                <w:szCs w:val="18"/>
              </w:rPr>
              <w:t>¥25,000.00</w:t>
            </w:r>
          </w:p>
        </w:tc>
        <w:tc>
          <w:tcPr>
            <w:tcW w:w="1240" w:type="dxa"/>
            <w:vMerge w:val="continue"/>
            <w:tcBorders>
              <w:top w:val="nil"/>
              <w:left w:val="nil"/>
              <w:bottom w:val="nil"/>
              <w:right w:val="single" w:color="auto" w:sz="4" w:space="0"/>
            </w:tcBorders>
            <w:shd w:val="clear" w:color="auto" w:fill="auto"/>
            <w:noWrap/>
            <w:vAlign w:val="center"/>
          </w:tcPr>
          <w:p>
            <w:pPr>
              <w:rPr>
                <w:sz w:val="20"/>
                <w:szCs w:val="20"/>
              </w:rPr>
            </w:pPr>
          </w:p>
        </w:tc>
      </w:tr>
      <w:tr>
        <w:tblPrEx>
          <w:tblCellMar>
            <w:top w:w="0" w:type="dxa"/>
            <w:left w:w="108" w:type="dxa"/>
            <w:bottom w:w="0" w:type="dxa"/>
            <w:right w:w="108" w:type="dxa"/>
          </w:tblCellMar>
        </w:tblPrEx>
        <w:trPr>
          <w:trHeight w:val="1000" w:hRule="atLeast"/>
        </w:trPr>
        <w:tc>
          <w:tcPr>
            <w:tcW w:w="765" w:type="dxa"/>
            <w:vMerge w:val="continue"/>
            <w:tcBorders>
              <w:top w:val="nil"/>
              <w:left w:val="single" w:color="auto" w:sz="4" w:space="0"/>
              <w:bottom w:val="nil"/>
              <w:right w:val="single" w:color="auto" w:sz="4" w:space="0"/>
            </w:tcBorders>
            <w:shd w:val="clear" w:color="auto" w:fill="auto"/>
            <w:vAlign w:val="center"/>
          </w:tcPr>
          <w:p>
            <w:pPr>
              <w:rPr>
                <w:sz w:val="20"/>
                <w:szCs w:val="20"/>
              </w:rPr>
            </w:pPr>
          </w:p>
        </w:tc>
        <w:tc>
          <w:tcPr>
            <w:tcW w:w="643" w:type="dxa"/>
            <w:vMerge w:val="restart"/>
            <w:tcBorders>
              <w:top w:val="nil"/>
              <w:left w:val="nil"/>
              <w:bottom w:val="single" w:color="auto" w:sz="4" w:space="0"/>
              <w:right w:val="single" w:color="auto" w:sz="4" w:space="0"/>
            </w:tcBorders>
            <w:shd w:val="clear" w:color="auto" w:fill="auto"/>
            <w:vAlign w:val="center"/>
          </w:tcPr>
          <w:p>
            <w:pPr>
              <w:widowControl/>
              <w:jc w:val="center"/>
              <w:rPr>
                <w:rFonts w:eastAsia="仿宋"/>
                <w:sz w:val="18"/>
                <w:szCs w:val="18"/>
              </w:rPr>
            </w:pPr>
            <w:r>
              <w:rPr>
                <w:rFonts w:eastAsia="仿宋"/>
                <w:sz w:val="18"/>
                <w:szCs w:val="18"/>
              </w:rPr>
              <w:t>2</w:t>
            </w:r>
          </w:p>
        </w:tc>
        <w:tc>
          <w:tcPr>
            <w:tcW w:w="709" w:type="dxa"/>
            <w:vMerge w:val="restart"/>
            <w:tcBorders>
              <w:top w:val="nil"/>
              <w:left w:val="nil"/>
              <w:bottom w:val="single" w:color="auto" w:sz="4" w:space="0"/>
              <w:right w:val="single" w:color="auto" w:sz="4" w:space="0"/>
            </w:tcBorders>
            <w:shd w:val="clear" w:color="auto" w:fill="auto"/>
            <w:vAlign w:val="center"/>
          </w:tcPr>
          <w:p>
            <w:pPr>
              <w:widowControl/>
              <w:jc w:val="center"/>
              <w:rPr>
                <w:rFonts w:eastAsia="仿宋"/>
                <w:sz w:val="18"/>
                <w:szCs w:val="18"/>
              </w:rPr>
            </w:pPr>
            <w:r>
              <w:rPr>
                <w:rFonts w:eastAsia="仿宋"/>
                <w:sz w:val="18"/>
                <w:szCs w:val="18"/>
              </w:rPr>
              <w:t>AI使能初级套餐</w:t>
            </w:r>
          </w:p>
        </w:tc>
        <w:tc>
          <w:tcPr>
            <w:tcW w:w="3827" w:type="dxa"/>
            <w:tcBorders>
              <w:top w:val="nil"/>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套餐包自启用后一年内有效。</w:t>
            </w:r>
            <w:r>
              <w:rPr>
                <w:rFonts w:eastAsia="仿宋"/>
                <w:sz w:val="18"/>
                <w:szCs w:val="18"/>
              </w:rPr>
              <w:br w:type="textWrapping"/>
            </w:r>
            <w:r>
              <w:rPr>
                <w:rFonts w:eastAsia="仿宋"/>
                <w:sz w:val="18"/>
                <w:szCs w:val="18"/>
              </w:rPr>
              <w:t>1.包含AI云服务资源，以下内容任选：</w:t>
            </w:r>
            <w:r>
              <w:rPr>
                <w:rFonts w:eastAsia="仿宋"/>
                <w:sz w:val="18"/>
                <w:szCs w:val="18"/>
              </w:rPr>
              <w:br w:type="textWrapping"/>
            </w:r>
            <w:r>
              <w:rPr>
                <w:rFonts w:eastAsia="仿宋"/>
                <w:sz w:val="18"/>
                <w:szCs w:val="18"/>
              </w:rPr>
              <w:t>1) 人工智能应用API(含图像内容检测、实时语音识别、人脸搜索/对比/检测、通用文字识别、图片搜索查询等20+API)</w:t>
            </w:r>
            <w:r>
              <w:rPr>
                <w:rFonts w:eastAsia="仿宋"/>
                <w:sz w:val="18"/>
                <w:szCs w:val="18"/>
              </w:rPr>
              <w:br w:type="textWrapping"/>
            </w:r>
            <w:r>
              <w:rPr>
                <w:rFonts w:eastAsia="仿宋"/>
                <w:sz w:val="18"/>
                <w:szCs w:val="18"/>
              </w:rPr>
              <w:t>2) AI开发平台ModelArts，提供模型学习训练的技术平台及资源服务</w:t>
            </w:r>
            <w:r>
              <w:rPr>
                <w:rFonts w:eastAsia="仿宋"/>
                <w:sz w:val="18"/>
                <w:szCs w:val="18"/>
              </w:rPr>
              <w:br w:type="textWrapping"/>
            </w:r>
            <w:r>
              <w:rPr>
                <w:rFonts w:eastAsia="仿宋"/>
                <w:sz w:val="18"/>
                <w:szCs w:val="18"/>
              </w:rPr>
              <w:t>3)AI大数据服务，提供数据接入、云数据迁移、数据湖工厂、数据仓库、数据湖探索等服务</w:t>
            </w:r>
            <w:r>
              <w:rPr>
                <w:rFonts w:eastAsia="仿宋"/>
                <w:sz w:val="18"/>
                <w:szCs w:val="18"/>
              </w:rPr>
              <w:br w:type="textWrapping"/>
            </w:r>
            <w:r>
              <w:rPr>
                <w:rFonts w:eastAsia="仿宋"/>
                <w:sz w:val="18"/>
                <w:szCs w:val="18"/>
              </w:rPr>
              <w:t>2.咨询服务：</w:t>
            </w:r>
          </w:p>
          <w:p>
            <w:pPr>
              <w:widowControl/>
              <w:rPr>
                <w:rFonts w:eastAsia="仿宋"/>
                <w:sz w:val="18"/>
                <w:szCs w:val="18"/>
              </w:rPr>
            </w:pPr>
            <w:r>
              <w:rPr>
                <w:rFonts w:eastAsia="仿宋"/>
                <w:sz w:val="18"/>
                <w:szCs w:val="18"/>
              </w:rPr>
              <w:t>1）帮助企业梳理自身业务与人工智能、大数据等服务的结合点，配置并开通合适的云服务</w:t>
            </w:r>
            <w:r>
              <w:rPr>
                <w:rFonts w:eastAsia="仿宋"/>
                <w:sz w:val="18"/>
                <w:szCs w:val="18"/>
              </w:rPr>
              <w:br w:type="textWrapping"/>
            </w:r>
            <w:r>
              <w:rPr>
                <w:rFonts w:eastAsia="仿宋"/>
                <w:sz w:val="18"/>
                <w:szCs w:val="18"/>
              </w:rPr>
              <w:t>2）提供5*8小时运营团队远程指导服务</w:t>
            </w:r>
          </w:p>
        </w:tc>
        <w:tc>
          <w:tcPr>
            <w:tcW w:w="992" w:type="dxa"/>
            <w:tcBorders>
              <w:top w:val="nil"/>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元/套餐包/年</w:t>
            </w:r>
          </w:p>
        </w:tc>
        <w:tc>
          <w:tcPr>
            <w:tcW w:w="1231" w:type="dxa"/>
            <w:tcBorders>
              <w:top w:val="nil"/>
              <w:left w:val="nil"/>
              <w:bottom w:val="single" w:color="auto" w:sz="4" w:space="0"/>
              <w:right w:val="single" w:color="auto" w:sz="4" w:space="0"/>
            </w:tcBorders>
            <w:shd w:val="clear" w:color="auto" w:fill="auto"/>
            <w:vAlign w:val="center"/>
          </w:tcPr>
          <w:p>
            <w:pPr>
              <w:widowControl/>
              <w:jc w:val="center"/>
              <w:rPr>
                <w:rFonts w:eastAsia="仿宋"/>
                <w:sz w:val="18"/>
                <w:szCs w:val="18"/>
              </w:rPr>
            </w:pPr>
            <w:r>
              <w:rPr>
                <w:rFonts w:eastAsia="仿宋"/>
                <w:sz w:val="18"/>
                <w:szCs w:val="18"/>
              </w:rPr>
              <w:t xml:space="preserve">¥150,000.00 </w:t>
            </w:r>
          </w:p>
        </w:tc>
        <w:tc>
          <w:tcPr>
            <w:tcW w:w="1240" w:type="dxa"/>
            <w:vMerge w:val="restart"/>
            <w:tcBorders>
              <w:top w:val="nil"/>
              <w:left w:val="nil"/>
              <w:bottom w:val="single" w:color="auto" w:sz="4" w:space="0"/>
              <w:right w:val="single" w:color="auto" w:sz="4" w:space="0"/>
            </w:tcBorders>
            <w:shd w:val="clear" w:color="auto" w:fill="auto"/>
            <w:noWrap/>
            <w:vAlign w:val="center"/>
          </w:tcPr>
          <w:p>
            <w:pPr>
              <w:widowControl/>
              <w:jc w:val="center"/>
              <w:rPr>
                <w:rFonts w:eastAsia="仿宋"/>
                <w:sz w:val="18"/>
                <w:szCs w:val="18"/>
              </w:rPr>
            </w:pPr>
            <w:r>
              <w:rPr>
                <w:rFonts w:eastAsia="仿宋"/>
                <w:sz w:val="18"/>
                <w:szCs w:val="18"/>
              </w:rPr>
              <w:t>¥200,000.00</w:t>
            </w:r>
          </w:p>
        </w:tc>
      </w:tr>
      <w:tr>
        <w:tblPrEx>
          <w:tblCellMar>
            <w:top w:w="0" w:type="dxa"/>
            <w:left w:w="108" w:type="dxa"/>
            <w:bottom w:w="0" w:type="dxa"/>
            <w:right w:w="108" w:type="dxa"/>
          </w:tblCellMar>
        </w:tblPrEx>
        <w:trPr>
          <w:trHeight w:val="1000" w:hRule="atLeast"/>
        </w:trPr>
        <w:tc>
          <w:tcPr>
            <w:tcW w:w="765" w:type="dxa"/>
            <w:vMerge w:val="continue"/>
            <w:tcBorders>
              <w:top w:val="nil"/>
              <w:left w:val="single" w:color="auto" w:sz="4" w:space="0"/>
              <w:bottom w:val="nil"/>
              <w:right w:val="single" w:color="auto" w:sz="4" w:space="0"/>
            </w:tcBorders>
            <w:shd w:val="clear" w:color="auto" w:fill="auto"/>
            <w:vAlign w:val="center"/>
          </w:tcPr>
          <w:p>
            <w:pPr>
              <w:rPr>
                <w:sz w:val="20"/>
                <w:szCs w:val="20"/>
              </w:rPr>
            </w:pPr>
          </w:p>
        </w:tc>
        <w:tc>
          <w:tcPr>
            <w:tcW w:w="643" w:type="dxa"/>
            <w:vMerge w:val="continue"/>
            <w:tcBorders>
              <w:top w:val="nil"/>
              <w:left w:val="nil"/>
              <w:bottom w:val="single" w:color="auto" w:sz="4" w:space="0"/>
              <w:right w:val="single" w:color="auto" w:sz="4" w:space="0"/>
            </w:tcBorders>
            <w:shd w:val="clear" w:color="auto" w:fill="auto"/>
            <w:vAlign w:val="center"/>
          </w:tcPr>
          <w:p>
            <w:pPr>
              <w:rPr>
                <w:sz w:val="20"/>
                <w:szCs w:val="20"/>
              </w:rPr>
            </w:pPr>
          </w:p>
        </w:tc>
        <w:tc>
          <w:tcPr>
            <w:tcW w:w="709" w:type="dxa"/>
            <w:vMerge w:val="continue"/>
            <w:tcBorders>
              <w:top w:val="nil"/>
              <w:left w:val="nil"/>
              <w:bottom w:val="single" w:color="auto" w:sz="4" w:space="0"/>
              <w:right w:val="single" w:color="auto" w:sz="4" w:space="0"/>
            </w:tcBorders>
            <w:shd w:val="clear" w:color="auto" w:fill="auto"/>
            <w:vAlign w:val="center"/>
          </w:tcPr>
          <w:p>
            <w:pPr>
              <w:rPr>
                <w:sz w:val="20"/>
                <w:szCs w:val="20"/>
              </w:rPr>
            </w:pPr>
          </w:p>
        </w:tc>
        <w:tc>
          <w:tcPr>
            <w:tcW w:w="3827" w:type="dxa"/>
            <w:tcBorders>
              <w:top w:val="nil"/>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推荐配置：</w:t>
            </w:r>
            <w:r>
              <w:rPr>
                <w:rFonts w:eastAsia="仿宋"/>
                <w:sz w:val="18"/>
                <w:szCs w:val="18"/>
              </w:rPr>
              <w:br w:type="textWrapping"/>
            </w:r>
            <w:r>
              <w:rPr>
                <w:rFonts w:eastAsia="仿宋"/>
                <w:sz w:val="18"/>
                <w:szCs w:val="18"/>
              </w:rPr>
              <w:t>虚机（8U16G  40G+500G硬盘）4台</w:t>
            </w:r>
          </w:p>
          <w:p>
            <w:pPr>
              <w:widowControl/>
              <w:rPr>
                <w:rFonts w:eastAsia="仿宋"/>
                <w:sz w:val="18"/>
                <w:szCs w:val="18"/>
              </w:rPr>
            </w:pPr>
            <w:r>
              <w:rPr>
                <w:rFonts w:eastAsia="仿宋"/>
                <w:sz w:val="18"/>
                <w:szCs w:val="18"/>
              </w:rPr>
              <w:t>EIP  2个</w:t>
            </w:r>
          </w:p>
          <w:p>
            <w:pPr>
              <w:widowControl/>
              <w:rPr>
                <w:rFonts w:eastAsia="仿宋"/>
                <w:sz w:val="18"/>
                <w:szCs w:val="18"/>
              </w:rPr>
            </w:pPr>
            <w:r>
              <w:rPr>
                <w:rFonts w:eastAsia="仿宋"/>
                <w:sz w:val="18"/>
                <w:szCs w:val="18"/>
              </w:rPr>
              <w:t>带宽（5M） 2个</w:t>
            </w:r>
          </w:p>
          <w:p>
            <w:pPr>
              <w:widowControl/>
              <w:rPr>
                <w:rFonts w:eastAsia="仿宋"/>
                <w:sz w:val="18"/>
                <w:szCs w:val="18"/>
              </w:rPr>
            </w:pPr>
            <w:r>
              <w:rPr>
                <w:rFonts w:eastAsia="仿宋"/>
                <w:sz w:val="18"/>
                <w:szCs w:val="18"/>
              </w:rPr>
              <w:t>RDS_MySQL（4U16G 500G存储） 1个</w:t>
            </w:r>
          </w:p>
          <w:p>
            <w:pPr>
              <w:widowControl/>
              <w:rPr>
                <w:rFonts w:eastAsia="仿宋"/>
                <w:sz w:val="18"/>
                <w:szCs w:val="18"/>
              </w:rPr>
            </w:pPr>
            <w:r>
              <w:rPr>
                <w:rFonts w:eastAsia="仿宋"/>
                <w:sz w:val="18"/>
                <w:szCs w:val="18"/>
              </w:rPr>
              <w:t>OBS(500G存储)  1个</w:t>
            </w:r>
          </w:p>
        </w:tc>
        <w:tc>
          <w:tcPr>
            <w:tcW w:w="992" w:type="dxa"/>
            <w:tcBorders>
              <w:top w:val="nil"/>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元/套餐包/年</w:t>
            </w:r>
          </w:p>
        </w:tc>
        <w:tc>
          <w:tcPr>
            <w:tcW w:w="1231" w:type="dxa"/>
            <w:tcBorders>
              <w:top w:val="nil"/>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 xml:space="preserve">¥50,000.00 </w:t>
            </w:r>
          </w:p>
        </w:tc>
        <w:tc>
          <w:tcPr>
            <w:tcW w:w="1240" w:type="dxa"/>
            <w:vMerge w:val="continue"/>
            <w:tcBorders>
              <w:top w:val="nil"/>
              <w:left w:val="nil"/>
              <w:bottom w:val="single" w:color="auto" w:sz="4" w:space="0"/>
              <w:right w:val="single" w:color="auto" w:sz="4" w:space="0"/>
            </w:tcBorders>
            <w:shd w:val="clear" w:color="auto" w:fill="auto"/>
            <w:noWrap/>
            <w:vAlign w:val="center"/>
          </w:tcPr>
          <w:p>
            <w:pPr>
              <w:rPr>
                <w:sz w:val="20"/>
                <w:szCs w:val="20"/>
              </w:rPr>
            </w:pPr>
          </w:p>
        </w:tc>
      </w:tr>
      <w:tr>
        <w:tblPrEx>
          <w:tblCellMar>
            <w:top w:w="0" w:type="dxa"/>
            <w:left w:w="108" w:type="dxa"/>
            <w:bottom w:w="0" w:type="dxa"/>
            <w:right w:w="108" w:type="dxa"/>
          </w:tblCellMar>
        </w:tblPrEx>
        <w:trPr>
          <w:trHeight w:val="1000" w:hRule="atLeast"/>
        </w:trPr>
        <w:tc>
          <w:tcPr>
            <w:tcW w:w="765" w:type="dxa"/>
            <w:vMerge w:val="continue"/>
            <w:tcBorders>
              <w:top w:val="nil"/>
              <w:left w:val="single" w:color="auto" w:sz="4" w:space="0"/>
              <w:bottom w:val="nil"/>
              <w:right w:val="single" w:color="auto" w:sz="4" w:space="0"/>
            </w:tcBorders>
            <w:shd w:val="clear" w:color="auto" w:fill="auto"/>
            <w:vAlign w:val="center"/>
          </w:tcPr>
          <w:p>
            <w:pPr>
              <w:rPr>
                <w:sz w:val="20"/>
                <w:szCs w:val="20"/>
              </w:rPr>
            </w:pPr>
          </w:p>
        </w:tc>
        <w:tc>
          <w:tcPr>
            <w:tcW w:w="643" w:type="dxa"/>
            <w:vMerge w:val="restart"/>
            <w:tcBorders>
              <w:top w:val="nil"/>
              <w:left w:val="nil"/>
              <w:bottom w:val="single" w:color="auto" w:sz="4" w:space="0"/>
              <w:right w:val="single" w:color="auto" w:sz="4" w:space="0"/>
            </w:tcBorders>
            <w:shd w:val="clear" w:color="auto" w:fill="auto"/>
            <w:vAlign w:val="center"/>
          </w:tcPr>
          <w:p>
            <w:pPr>
              <w:widowControl/>
              <w:jc w:val="center"/>
              <w:rPr>
                <w:rFonts w:eastAsia="仿宋"/>
                <w:sz w:val="18"/>
                <w:szCs w:val="18"/>
              </w:rPr>
            </w:pPr>
            <w:r>
              <w:rPr>
                <w:rFonts w:eastAsia="仿宋"/>
                <w:sz w:val="18"/>
                <w:szCs w:val="18"/>
              </w:rPr>
              <w:t>3</w:t>
            </w:r>
          </w:p>
        </w:tc>
        <w:tc>
          <w:tcPr>
            <w:tcW w:w="709" w:type="dxa"/>
            <w:vMerge w:val="restart"/>
            <w:tcBorders>
              <w:top w:val="nil"/>
              <w:left w:val="nil"/>
              <w:bottom w:val="nil"/>
              <w:right w:val="single" w:color="auto" w:sz="4" w:space="0"/>
            </w:tcBorders>
            <w:shd w:val="clear" w:color="auto" w:fill="auto"/>
            <w:vAlign w:val="center"/>
          </w:tcPr>
          <w:p>
            <w:pPr>
              <w:widowControl/>
              <w:jc w:val="center"/>
              <w:rPr>
                <w:rFonts w:eastAsia="仿宋"/>
                <w:sz w:val="18"/>
                <w:szCs w:val="18"/>
              </w:rPr>
            </w:pPr>
            <w:r>
              <w:rPr>
                <w:rFonts w:eastAsia="仿宋"/>
                <w:sz w:val="18"/>
                <w:szCs w:val="18"/>
              </w:rPr>
              <w:t>AI使能中级套餐</w:t>
            </w:r>
          </w:p>
        </w:tc>
        <w:tc>
          <w:tcPr>
            <w:tcW w:w="3827"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套餐包自启用后一年内有效。</w:t>
            </w:r>
            <w:r>
              <w:rPr>
                <w:rFonts w:eastAsia="仿宋"/>
                <w:sz w:val="18"/>
                <w:szCs w:val="18"/>
              </w:rPr>
              <w:br w:type="textWrapping"/>
            </w:r>
            <w:r>
              <w:rPr>
                <w:rFonts w:eastAsia="仿宋"/>
                <w:sz w:val="18"/>
                <w:szCs w:val="18"/>
              </w:rPr>
              <w:t>1.包含AI云服务资源，以下内容任选：</w:t>
            </w:r>
            <w:r>
              <w:rPr>
                <w:rFonts w:eastAsia="仿宋"/>
                <w:sz w:val="18"/>
                <w:szCs w:val="18"/>
              </w:rPr>
              <w:br w:type="textWrapping"/>
            </w:r>
            <w:r>
              <w:rPr>
                <w:rFonts w:eastAsia="仿宋"/>
                <w:sz w:val="18"/>
                <w:szCs w:val="18"/>
              </w:rPr>
              <w:t>1）人工智能应用API(含图像内容检测、实时语音识别、人脸搜索/对比/检测、通用文字识别、图片搜索查询等20+API)</w:t>
            </w:r>
            <w:r>
              <w:rPr>
                <w:rFonts w:eastAsia="仿宋"/>
                <w:sz w:val="18"/>
                <w:szCs w:val="18"/>
              </w:rPr>
              <w:br w:type="textWrapping"/>
            </w:r>
            <w:r>
              <w:rPr>
                <w:rFonts w:eastAsia="仿宋"/>
                <w:sz w:val="18"/>
                <w:szCs w:val="18"/>
              </w:rPr>
              <w:t>2）AI开发平台ModelArts，提供模型学习训练的技术平台及资源服务</w:t>
            </w:r>
            <w:r>
              <w:rPr>
                <w:rFonts w:eastAsia="仿宋"/>
                <w:sz w:val="18"/>
                <w:szCs w:val="18"/>
              </w:rPr>
              <w:br w:type="textWrapping"/>
            </w:r>
            <w:r>
              <w:rPr>
                <w:rFonts w:eastAsia="仿宋"/>
                <w:sz w:val="18"/>
                <w:szCs w:val="18"/>
              </w:rPr>
              <w:t>3）AI大数据服务，提供数据接入、云数据迁移、数据湖工厂、数据仓库、数据湖探索等服务</w:t>
            </w:r>
            <w:r>
              <w:rPr>
                <w:rFonts w:eastAsia="仿宋"/>
                <w:sz w:val="18"/>
                <w:szCs w:val="18"/>
              </w:rPr>
              <w:br w:type="textWrapping"/>
            </w:r>
            <w:r>
              <w:rPr>
                <w:rFonts w:eastAsia="仿宋"/>
                <w:sz w:val="18"/>
                <w:szCs w:val="18"/>
              </w:rPr>
              <w:t>2.咨询服务：</w:t>
            </w:r>
          </w:p>
          <w:p>
            <w:pPr>
              <w:widowControl/>
              <w:rPr>
                <w:rFonts w:eastAsia="仿宋"/>
                <w:sz w:val="18"/>
                <w:szCs w:val="18"/>
              </w:rPr>
            </w:pPr>
            <w:r>
              <w:rPr>
                <w:rFonts w:eastAsia="仿宋"/>
                <w:sz w:val="18"/>
                <w:szCs w:val="18"/>
              </w:rPr>
              <w:t>1）帮助企业梳理自身业务与人工智能、大数据等服务的结合点，配置并开通合适的云服务</w:t>
            </w:r>
          </w:p>
          <w:p>
            <w:pPr>
              <w:widowControl/>
              <w:rPr>
                <w:rFonts w:eastAsia="仿宋"/>
                <w:sz w:val="18"/>
                <w:szCs w:val="18"/>
              </w:rPr>
            </w:pPr>
            <w:r>
              <w:rPr>
                <w:rFonts w:eastAsia="仿宋"/>
                <w:sz w:val="18"/>
                <w:szCs w:val="18"/>
              </w:rPr>
              <w:t>2）提供5*8小时运营团队远程指导服务</w:t>
            </w:r>
          </w:p>
          <w:p>
            <w:pPr>
              <w:widowControl/>
              <w:rPr>
                <w:rFonts w:eastAsia="仿宋"/>
                <w:sz w:val="18"/>
                <w:szCs w:val="18"/>
              </w:rPr>
            </w:pPr>
            <w:r>
              <w:rPr>
                <w:rFonts w:eastAsia="仿宋"/>
                <w:sz w:val="18"/>
                <w:szCs w:val="18"/>
              </w:rPr>
              <w:t>3）提供不超过5人天的运营团队现场服务</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元/套餐包/年</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 xml:space="preserve">¥260,000.00 </w:t>
            </w:r>
          </w:p>
        </w:tc>
        <w:tc>
          <w:tcPr>
            <w:tcW w:w="1240" w:type="dxa"/>
            <w:vMerge w:val="restart"/>
            <w:tcBorders>
              <w:top w:val="nil"/>
              <w:left w:val="nil"/>
              <w:bottom w:val="single" w:color="000000" w:sz="4" w:space="0"/>
              <w:right w:val="single" w:color="auto" w:sz="4" w:space="0"/>
            </w:tcBorders>
            <w:shd w:val="clear" w:color="auto" w:fill="auto"/>
            <w:noWrap/>
            <w:vAlign w:val="center"/>
          </w:tcPr>
          <w:p>
            <w:pPr>
              <w:widowControl/>
              <w:jc w:val="center"/>
              <w:rPr>
                <w:rFonts w:eastAsia="仿宋"/>
                <w:sz w:val="18"/>
                <w:szCs w:val="18"/>
              </w:rPr>
            </w:pPr>
            <w:r>
              <w:rPr>
                <w:rFonts w:eastAsia="仿宋"/>
                <w:sz w:val="18"/>
                <w:szCs w:val="18"/>
              </w:rPr>
              <w:t>¥350,000.00</w:t>
            </w:r>
          </w:p>
        </w:tc>
      </w:tr>
      <w:tr>
        <w:tblPrEx>
          <w:tblCellMar>
            <w:top w:w="0" w:type="dxa"/>
            <w:left w:w="108" w:type="dxa"/>
            <w:bottom w:w="0" w:type="dxa"/>
            <w:right w:w="108" w:type="dxa"/>
          </w:tblCellMar>
        </w:tblPrEx>
        <w:trPr>
          <w:trHeight w:val="1000" w:hRule="atLeast"/>
        </w:trPr>
        <w:tc>
          <w:tcPr>
            <w:tcW w:w="765" w:type="dxa"/>
            <w:vMerge w:val="continue"/>
            <w:tcBorders>
              <w:top w:val="nil"/>
              <w:left w:val="single" w:color="auto" w:sz="4" w:space="0"/>
              <w:bottom w:val="nil"/>
              <w:right w:val="single" w:color="auto" w:sz="4" w:space="0"/>
            </w:tcBorders>
            <w:shd w:val="clear" w:color="auto" w:fill="auto"/>
            <w:vAlign w:val="center"/>
          </w:tcPr>
          <w:p>
            <w:pPr>
              <w:rPr>
                <w:sz w:val="20"/>
                <w:szCs w:val="20"/>
              </w:rPr>
            </w:pPr>
          </w:p>
        </w:tc>
        <w:tc>
          <w:tcPr>
            <w:tcW w:w="643" w:type="dxa"/>
            <w:vMerge w:val="continue"/>
            <w:tcBorders>
              <w:top w:val="nil"/>
              <w:left w:val="nil"/>
              <w:bottom w:val="single" w:color="auto" w:sz="4" w:space="0"/>
              <w:right w:val="single" w:color="auto" w:sz="4" w:space="0"/>
            </w:tcBorders>
            <w:shd w:val="clear" w:color="auto" w:fill="auto"/>
            <w:vAlign w:val="center"/>
          </w:tcPr>
          <w:p>
            <w:pPr>
              <w:rPr>
                <w:sz w:val="20"/>
                <w:szCs w:val="20"/>
              </w:rPr>
            </w:pPr>
          </w:p>
        </w:tc>
        <w:tc>
          <w:tcPr>
            <w:tcW w:w="709" w:type="dxa"/>
            <w:vMerge w:val="continue"/>
            <w:tcBorders>
              <w:top w:val="nil"/>
              <w:left w:val="nil"/>
              <w:bottom w:val="nil"/>
              <w:right w:val="single" w:color="auto" w:sz="4" w:space="0"/>
            </w:tcBorders>
            <w:shd w:val="clear" w:color="auto" w:fill="auto"/>
            <w:vAlign w:val="center"/>
          </w:tcPr>
          <w:p>
            <w:pPr>
              <w:rPr>
                <w:sz w:val="20"/>
                <w:szCs w:val="20"/>
              </w:rPr>
            </w:pPr>
          </w:p>
        </w:tc>
        <w:tc>
          <w:tcPr>
            <w:tcW w:w="3827" w:type="dxa"/>
            <w:tcBorders>
              <w:top w:val="nil"/>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推荐配置：</w:t>
            </w:r>
            <w:r>
              <w:rPr>
                <w:rFonts w:eastAsia="仿宋"/>
                <w:sz w:val="18"/>
                <w:szCs w:val="18"/>
              </w:rPr>
              <w:br w:type="textWrapping"/>
            </w:r>
            <w:r>
              <w:rPr>
                <w:rFonts w:eastAsia="仿宋"/>
                <w:sz w:val="18"/>
                <w:szCs w:val="18"/>
              </w:rPr>
              <w:t>虚机（16U32G  40G+500G硬盘）4台</w:t>
            </w:r>
          </w:p>
          <w:p>
            <w:pPr>
              <w:widowControl/>
              <w:rPr>
                <w:rFonts w:eastAsia="仿宋"/>
                <w:sz w:val="18"/>
                <w:szCs w:val="18"/>
              </w:rPr>
            </w:pPr>
            <w:r>
              <w:rPr>
                <w:rFonts w:eastAsia="仿宋"/>
                <w:sz w:val="18"/>
                <w:szCs w:val="18"/>
              </w:rPr>
              <w:t>EIP  2个</w:t>
            </w:r>
          </w:p>
          <w:p>
            <w:pPr>
              <w:widowControl/>
              <w:rPr>
                <w:rFonts w:eastAsia="仿宋"/>
                <w:sz w:val="18"/>
                <w:szCs w:val="18"/>
              </w:rPr>
            </w:pPr>
            <w:r>
              <w:rPr>
                <w:rFonts w:eastAsia="仿宋"/>
                <w:sz w:val="18"/>
                <w:szCs w:val="18"/>
              </w:rPr>
              <w:t>带宽（10M） 2个</w:t>
            </w:r>
          </w:p>
          <w:p>
            <w:pPr>
              <w:widowControl/>
              <w:rPr>
                <w:rFonts w:eastAsia="仿宋"/>
                <w:sz w:val="18"/>
                <w:szCs w:val="18"/>
              </w:rPr>
            </w:pPr>
            <w:r>
              <w:rPr>
                <w:rFonts w:eastAsia="仿宋"/>
                <w:sz w:val="18"/>
                <w:szCs w:val="18"/>
              </w:rPr>
              <w:t>RDS_MySQL（8U16G 500G存储） 1个</w:t>
            </w:r>
          </w:p>
          <w:p>
            <w:pPr>
              <w:widowControl/>
              <w:rPr>
                <w:rFonts w:eastAsia="仿宋"/>
                <w:sz w:val="18"/>
                <w:szCs w:val="18"/>
              </w:rPr>
            </w:pPr>
            <w:r>
              <w:rPr>
                <w:rFonts w:eastAsia="仿宋"/>
                <w:sz w:val="18"/>
                <w:szCs w:val="18"/>
              </w:rPr>
              <w:t>OBS(500G存储)  1个</w:t>
            </w:r>
          </w:p>
        </w:tc>
        <w:tc>
          <w:tcPr>
            <w:tcW w:w="992" w:type="dxa"/>
            <w:tcBorders>
              <w:top w:val="nil"/>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元/套餐包/年</w:t>
            </w:r>
          </w:p>
        </w:tc>
        <w:tc>
          <w:tcPr>
            <w:tcW w:w="1231" w:type="dxa"/>
            <w:tcBorders>
              <w:top w:val="nil"/>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 xml:space="preserve">¥90,000.00 </w:t>
            </w:r>
          </w:p>
        </w:tc>
        <w:tc>
          <w:tcPr>
            <w:tcW w:w="1240" w:type="dxa"/>
            <w:vMerge w:val="continue"/>
            <w:tcBorders>
              <w:top w:val="nil"/>
              <w:left w:val="nil"/>
              <w:bottom w:val="single" w:color="000000" w:sz="4" w:space="0"/>
              <w:right w:val="single" w:color="auto" w:sz="4" w:space="0"/>
            </w:tcBorders>
            <w:shd w:val="clear" w:color="auto" w:fill="auto"/>
            <w:noWrap/>
            <w:vAlign w:val="center"/>
          </w:tcPr>
          <w:p>
            <w:pPr>
              <w:rPr>
                <w:sz w:val="20"/>
                <w:szCs w:val="20"/>
              </w:rPr>
            </w:pPr>
          </w:p>
        </w:tc>
      </w:tr>
      <w:tr>
        <w:tblPrEx>
          <w:tblCellMar>
            <w:top w:w="0" w:type="dxa"/>
            <w:left w:w="108" w:type="dxa"/>
            <w:bottom w:w="0" w:type="dxa"/>
            <w:right w:w="108" w:type="dxa"/>
          </w:tblCellMar>
        </w:tblPrEx>
        <w:trPr>
          <w:trHeight w:val="1000" w:hRule="atLeast"/>
        </w:trPr>
        <w:tc>
          <w:tcPr>
            <w:tcW w:w="765" w:type="dxa"/>
            <w:vMerge w:val="continue"/>
            <w:tcBorders>
              <w:top w:val="nil"/>
              <w:left w:val="single" w:color="auto" w:sz="4" w:space="0"/>
              <w:bottom w:val="nil"/>
              <w:right w:val="single" w:color="auto" w:sz="4" w:space="0"/>
            </w:tcBorders>
            <w:shd w:val="clear" w:color="auto" w:fill="auto"/>
            <w:vAlign w:val="center"/>
          </w:tcPr>
          <w:p>
            <w:pPr>
              <w:rPr>
                <w:sz w:val="20"/>
                <w:szCs w:val="20"/>
              </w:rPr>
            </w:pPr>
          </w:p>
        </w:tc>
        <w:tc>
          <w:tcPr>
            <w:tcW w:w="643" w:type="dxa"/>
            <w:vMerge w:val="restart"/>
            <w:tcBorders>
              <w:top w:val="nil"/>
              <w:left w:val="nil"/>
              <w:bottom w:val="nil"/>
              <w:right w:val="single" w:color="auto" w:sz="4" w:space="0"/>
            </w:tcBorders>
            <w:shd w:val="clear" w:color="auto" w:fill="auto"/>
            <w:vAlign w:val="center"/>
          </w:tcPr>
          <w:p>
            <w:pPr>
              <w:widowControl/>
              <w:rPr>
                <w:rFonts w:eastAsia="仿宋"/>
                <w:sz w:val="18"/>
                <w:szCs w:val="18"/>
              </w:rPr>
            </w:pPr>
            <w:r>
              <w:rPr>
                <w:rFonts w:eastAsia="仿宋"/>
                <w:sz w:val="18"/>
                <w:szCs w:val="18"/>
              </w:rPr>
              <w:t>4</w:t>
            </w:r>
          </w:p>
        </w:tc>
        <w:tc>
          <w:tcPr>
            <w:tcW w:w="709" w:type="dxa"/>
            <w:vMerge w:val="restart"/>
            <w:tcBorders>
              <w:top w:val="nil"/>
              <w:left w:val="nil"/>
              <w:bottom w:val="nil"/>
              <w:right w:val="single" w:color="auto" w:sz="4" w:space="0"/>
            </w:tcBorders>
            <w:shd w:val="clear" w:color="auto" w:fill="auto"/>
            <w:vAlign w:val="center"/>
          </w:tcPr>
          <w:p>
            <w:pPr>
              <w:widowControl/>
              <w:rPr>
                <w:rFonts w:eastAsia="仿宋"/>
                <w:sz w:val="18"/>
                <w:szCs w:val="18"/>
              </w:rPr>
            </w:pPr>
            <w:r>
              <w:rPr>
                <w:rFonts w:eastAsia="仿宋"/>
                <w:sz w:val="18"/>
                <w:szCs w:val="18"/>
              </w:rPr>
              <w:t>AI使能孵化套餐</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eastAsia="仿宋"/>
                <w:sz w:val="18"/>
                <w:szCs w:val="18"/>
              </w:rPr>
            </w:pPr>
            <w:r>
              <w:rPr>
                <w:rFonts w:eastAsia="仿宋"/>
                <w:sz w:val="18"/>
                <w:szCs w:val="18"/>
              </w:rPr>
              <w:t>1.包含AI云服务资源，以下内容任选，按华为云官网单价进行计费：</w:t>
            </w:r>
          </w:p>
          <w:p>
            <w:pPr>
              <w:widowControl/>
              <w:jc w:val="left"/>
              <w:rPr>
                <w:rFonts w:eastAsia="仿宋"/>
                <w:sz w:val="18"/>
                <w:szCs w:val="18"/>
              </w:rPr>
            </w:pPr>
            <w:r>
              <w:rPr>
                <w:rFonts w:eastAsia="仿宋"/>
                <w:sz w:val="18"/>
                <w:szCs w:val="18"/>
              </w:rPr>
              <w:t xml:space="preserve">1) 人工智能应用API(含图像内容检测、实时语音识别、人脸搜索/对比/检测、通用文字识别、图片搜索查询等20+API) </w:t>
            </w:r>
          </w:p>
          <w:p>
            <w:pPr>
              <w:widowControl/>
              <w:jc w:val="left"/>
              <w:rPr>
                <w:rFonts w:eastAsia="仿宋"/>
                <w:sz w:val="18"/>
                <w:szCs w:val="18"/>
              </w:rPr>
            </w:pPr>
            <w:r>
              <w:rPr>
                <w:rFonts w:eastAsia="仿宋"/>
                <w:sz w:val="18"/>
                <w:szCs w:val="18"/>
              </w:rPr>
              <w:t>2) AI开发平台ModelArts，提供模型学习训练的技术平台及资源服务</w:t>
            </w:r>
            <w:r>
              <w:rPr>
                <w:rFonts w:eastAsia="仿宋"/>
                <w:sz w:val="18"/>
                <w:szCs w:val="18"/>
              </w:rPr>
              <w:br w:type="textWrapping"/>
            </w:r>
            <w:r>
              <w:rPr>
                <w:rFonts w:eastAsia="仿宋"/>
                <w:sz w:val="18"/>
                <w:szCs w:val="18"/>
              </w:rPr>
              <w:t>3)AI大数据服务，提供数据接入、云数据迁移、数据湖工厂、数据仓库、数据湖探索等服务</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eastAsia="仿宋"/>
                <w:sz w:val="18"/>
                <w:szCs w:val="18"/>
              </w:rPr>
            </w:pPr>
            <w:r>
              <w:rPr>
                <w:rFonts w:eastAsia="仿宋"/>
                <w:sz w:val="18"/>
                <w:szCs w:val="18"/>
              </w:rPr>
              <w:t>元/套餐包/年</w:t>
            </w:r>
          </w:p>
        </w:tc>
        <w:tc>
          <w:tcPr>
            <w:tcW w:w="1231" w:type="dxa"/>
            <w:tcBorders>
              <w:top w:val="nil"/>
              <w:left w:val="nil"/>
              <w:bottom w:val="single" w:color="auto" w:sz="4" w:space="0"/>
              <w:right w:val="single" w:color="auto" w:sz="4" w:space="0"/>
            </w:tcBorders>
            <w:shd w:val="clear" w:color="auto" w:fill="auto"/>
            <w:vAlign w:val="center"/>
          </w:tcPr>
          <w:p>
            <w:pPr>
              <w:widowControl/>
              <w:jc w:val="left"/>
              <w:rPr>
                <w:rFonts w:eastAsia="仿宋"/>
                <w:sz w:val="18"/>
                <w:szCs w:val="18"/>
              </w:rPr>
            </w:pPr>
            <w:r>
              <w:rPr>
                <w:rFonts w:eastAsia="仿宋"/>
                <w:sz w:val="18"/>
                <w:szCs w:val="18"/>
              </w:rPr>
              <w:t>¥160,000.00</w:t>
            </w:r>
          </w:p>
        </w:tc>
        <w:tc>
          <w:tcPr>
            <w:tcW w:w="1240" w:type="dxa"/>
            <w:vMerge w:val="restart"/>
            <w:tcBorders>
              <w:top w:val="nil"/>
              <w:left w:val="nil"/>
              <w:bottom w:val="nil"/>
              <w:right w:val="single" w:color="auto" w:sz="4" w:space="0"/>
            </w:tcBorders>
            <w:shd w:val="clear" w:color="auto" w:fill="auto"/>
            <w:vAlign w:val="center"/>
          </w:tcPr>
          <w:p>
            <w:pPr>
              <w:widowControl/>
              <w:rPr>
                <w:rFonts w:eastAsia="仿宋"/>
                <w:sz w:val="18"/>
                <w:szCs w:val="18"/>
              </w:rPr>
            </w:pPr>
            <w:r>
              <w:rPr>
                <w:rFonts w:eastAsia="仿宋"/>
                <w:sz w:val="18"/>
                <w:szCs w:val="18"/>
              </w:rPr>
              <w:t>¥400,000.00</w:t>
            </w:r>
          </w:p>
        </w:tc>
      </w:tr>
      <w:tr>
        <w:tblPrEx>
          <w:tblCellMar>
            <w:top w:w="0" w:type="dxa"/>
            <w:left w:w="108" w:type="dxa"/>
            <w:bottom w:w="0" w:type="dxa"/>
            <w:right w:w="108" w:type="dxa"/>
          </w:tblCellMar>
        </w:tblPrEx>
        <w:trPr>
          <w:trHeight w:val="699" w:hRule="atLeast"/>
        </w:trPr>
        <w:tc>
          <w:tcPr>
            <w:tcW w:w="765" w:type="dxa"/>
            <w:vMerge w:val="continue"/>
            <w:tcBorders>
              <w:top w:val="nil"/>
              <w:left w:val="single" w:color="auto" w:sz="4" w:space="0"/>
              <w:bottom w:val="nil"/>
              <w:right w:val="single" w:color="auto" w:sz="4" w:space="0"/>
            </w:tcBorders>
            <w:shd w:val="clear" w:color="auto" w:fill="auto"/>
            <w:vAlign w:val="center"/>
          </w:tcPr>
          <w:p>
            <w:pPr>
              <w:rPr>
                <w:sz w:val="20"/>
                <w:szCs w:val="20"/>
              </w:rPr>
            </w:pPr>
          </w:p>
        </w:tc>
        <w:tc>
          <w:tcPr>
            <w:tcW w:w="643" w:type="dxa"/>
            <w:vMerge w:val="continue"/>
            <w:tcBorders>
              <w:top w:val="nil"/>
              <w:left w:val="nil"/>
              <w:bottom w:val="nil"/>
              <w:right w:val="single" w:color="auto" w:sz="4" w:space="0"/>
            </w:tcBorders>
            <w:shd w:val="clear" w:color="auto" w:fill="auto"/>
            <w:vAlign w:val="center"/>
          </w:tcPr>
          <w:p>
            <w:pPr>
              <w:rPr>
                <w:sz w:val="20"/>
                <w:szCs w:val="20"/>
              </w:rPr>
            </w:pPr>
          </w:p>
        </w:tc>
        <w:tc>
          <w:tcPr>
            <w:tcW w:w="709" w:type="dxa"/>
            <w:vMerge w:val="continue"/>
            <w:tcBorders>
              <w:top w:val="nil"/>
              <w:left w:val="nil"/>
              <w:bottom w:val="nil"/>
              <w:right w:val="single" w:color="auto" w:sz="4" w:space="0"/>
            </w:tcBorders>
            <w:shd w:val="clear" w:color="auto" w:fill="auto"/>
            <w:vAlign w:val="center"/>
          </w:tcPr>
          <w:p>
            <w:pPr>
              <w:rPr>
                <w:sz w:val="20"/>
                <w:szCs w:val="20"/>
              </w:rPr>
            </w:pP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eastAsia="仿宋"/>
                <w:sz w:val="18"/>
                <w:szCs w:val="18"/>
              </w:rPr>
            </w:pPr>
            <w:r>
              <w:rPr>
                <w:rFonts w:eastAsia="仿宋"/>
                <w:sz w:val="18"/>
                <w:szCs w:val="18"/>
              </w:rPr>
              <w:t>1.虚机</w:t>
            </w:r>
            <w:r>
              <w:rPr>
                <w:rFonts w:eastAsia="仿宋"/>
                <w:sz w:val="18"/>
                <w:szCs w:val="18"/>
              </w:rPr>
              <w:br w:type="textWrapping"/>
            </w:r>
            <w:r>
              <w:rPr>
                <w:rFonts w:eastAsia="仿宋"/>
                <w:sz w:val="18"/>
                <w:szCs w:val="18"/>
              </w:rPr>
              <w:t xml:space="preserve">2.EIP  </w:t>
            </w:r>
            <w:r>
              <w:rPr>
                <w:rFonts w:eastAsia="仿宋"/>
                <w:sz w:val="18"/>
                <w:szCs w:val="18"/>
              </w:rPr>
              <w:br w:type="textWrapping"/>
            </w:r>
            <w:r>
              <w:rPr>
                <w:rFonts w:eastAsia="仿宋"/>
                <w:sz w:val="18"/>
                <w:szCs w:val="18"/>
              </w:rPr>
              <w:t>3.带宽</w:t>
            </w:r>
            <w:r>
              <w:rPr>
                <w:rFonts w:eastAsia="仿宋"/>
                <w:sz w:val="18"/>
                <w:szCs w:val="18"/>
              </w:rPr>
              <w:br w:type="textWrapping"/>
            </w:r>
            <w:r>
              <w:rPr>
                <w:rFonts w:eastAsia="仿宋"/>
                <w:sz w:val="18"/>
                <w:szCs w:val="18"/>
              </w:rPr>
              <w:t>4.RDS_MySQL</w:t>
            </w:r>
            <w:r>
              <w:rPr>
                <w:rFonts w:eastAsia="仿宋"/>
                <w:sz w:val="18"/>
                <w:szCs w:val="18"/>
              </w:rPr>
              <w:br w:type="textWrapping"/>
            </w:r>
            <w:r>
              <w:rPr>
                <w:rFonts w:eastAsia="仿宋"/>
                <w:sz w:val="18"/>
                <w:szCs w:val="18"/>
              </w:rPr>
              <w:t>5.OBS</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eastAsia="仿宋"/>
                <w:sz w:val="18"/>
                <w:szCs w:val="18"/>
              </w:rPr>
            </w:pPr>
            <w:r>
              <w:rPr>
                <w:rFonts w:eastAsia="仿宋"/>
                <w:sz w:val="18"/>
                <w:szCs w:val="18"/>
              </w:rPr>
              <w:t>元/套餐包/年</w:t>
            </w:r>
          </w:p>
        </w:tc>
        <w:tc>
          <w:tcPr>
            <w:tcW w:w="1231" w:type="dxa"/>
            <w:tcBorders>
              <w:top w:val="nil"/>
              <w:left w:val="nil"/>
              <w:bottom w:val="single" w:color="auto" w:sz="4" w:space="0"/>
              <w:right w:val="single" w:color="auto" w:sz="4" w:space="0"/>
            </w:tcBorders>
            <w:shd w:val="clear" w:color="auto" w:fill="auto"/>
            <w:vAlign w:val="center"/>
          </w:tcPr>
          <w:p>
            <w:pPr>
              <w:widowControl/>
              <w:jc w:val="left"/>
              <w:rPr>
                <w:rFonts w:eastAsia="仿宋"/>
                <w:sz w:val="18"/>
                <w:szCs w:val="18"/>
              </w:rPr>
            </w:pPr>
            <w:r>
              <w:rPr>
                <w:rFonts w:eastAsia="仿宋"/>
                <w:sz w:val="18"/>
                <w:szCs w:val="18"/>
              </w:rPr>
              <w:t>¥240,000.00</w:t>
            </w:r>
          </w:p>
        </w:tc>
        <w:tc>
          <w:tcPr>
            <w:tcW w:w="1240" w:type="dxa"/>
            <w:vMerge w:val="continue"/>
            <w:tcBorders>
              <w:top w:val="nil"/>
              <w:left w:val="nil"/>
              <w:bottom w:val="nil"/>
              <w:right w:val="single" w:color="auto" w:sz="4" w:space="0"/>
            </w:tcBorders>
            <w:shd w:val="clear" w:color="auto" w:fill="auto"/>
            <w:vAlign w:val="center"/>
          </w:tcPr>
          <w:p>
            <w:pPr>
              <w:rPr>
                <w:sz w:val="20"/>
                <w:szCs w:val="20"/>
              </w:rPr>
            </w:pPr>
          </w:p>
        </w:tc>
      </w:tr>
      <w:tr>
        <w:tblPrEx>
          <w:tblCellMar>
            <w:top w:w="0" w:type="dxa"/>
            <w:left w:w="108" w:type="dxa"/>
            <w:bottom w:w="0" w:type="dxa"/>
            <w:right w:w="108" w:type="dxa"/>
          </w:tblCellMar>
        </w:tblPrEx>
        <w:trPr>
          <w:trHeight w:val="1000" w:hRule="atLeast"/>
        </w:trPr>
        <w:tc>
          <w:tcPr>
            <w:tcW w:w="765" w:type="dxa"/>
            <w:vMerge w:val="continue"/>
            <w:tcBorders>
              <w:top w:val="nil"/>
              <w:left w:val="single" w:color="auto" w:sz="4" w:space="0"/>
              <w:bottom w:val="nil"/>
              <w:right w:val="single" w:color="auto" w:sz="4" w:space="0"/>
            </w:tcBorders>
            <w:shd w:val="clear" w:color="auto" w:fill="auto"/>
            <w:vAlign w:val="center"/>
          </w:tcPr>
          <w:p>
            <w:pPr>
              <w:rPr>
                <w:sz w:val="20"/>
                <w:szCs w:val="20"/>
              </w:rPr>
            </w:pPr>
          </w:p>
        </w:tc>
        <w:tc>
          <w:tcPr>
            <w:tcW w:w="643" w:type="dxa"/>
            <w:vMerge w:val="restart"/>
            <w:tcBorders>
              <w:top w:val="nil"/>
              <w:left w:val="nil"/>
              <w:bottom w:val="single" w:color="auto" w:sz="4" w:space="0"/>
              <w:right w:val="single" w:color="auto" w:sz="4" w:space="0"/>
            </w:tcBorders>
            <w:shd w:val="clear" w:color="auto" w:fill="auto"/>
            <w:vAlign w:val="center"/>
          </w:tcPr>
          <w:p>
            <w:pPr>
              <w:widowControl/>
              <w:jc w:val="center"/>
              <w:rPr>
                <w:rFonts w:eastAsia="仿宋"/>
                <w:sz w:val="18"/>
                <w:szCs w:val="18"/>
              </w:rPr>
            </w:pPr>
            <w:r>
              <w:rPr>
                <w:rFonts w:eastAsia="仿宋"/>
                <w:sz w:val="18"/>
                <w:szCs w:val="18"/>
              </w:rPr>
              <w:t>5</w:t>
            </w:r>
          </w:p>
        </w:tc>
        <w:tc>
          <w:tcPr>
            <w:tcW w:w="709" w:type="dxa"/>
            <w:vMerge w:val="restart"/>
            <w:tcBorders>
              <w:top w:val="nil"/>
              <w:left w:val="nil"/>
              <w:bottom w:val="single" w:color="auto" w:sz="4" w:space="0"/>
              <w:right w:val="single" w:color="auto" w:sz="4" w:space="0"/>
            </w:tcBorders>
            <w:shd w:val="clear" w:color="auto" w:fill="auto"/>
            <w:vAlign w:val="center"/>
          </w:tcPr>
          <w:p>
            <w:pPr>
              <w:widowControl/>
              <w:jc w:val="center"/>
              <w:rPr>
                <w:rFonts w:eastAsia="仿宋"/>
                <w:sz w:val="18"/>
                <w:szCs w:val="18"/>
              </w:rPr>
            </w:pPr>
            <w:r>
              <w:rPr>
                <w:rFonts w:eastAsia="仿宋"/>
                <w:sz w:val="18"/>
                <w:szCs w:val="18"/>
              </w:rPr>
              <w:t>AI使能高级套餐</w:t>
            </w:r>
          </w:p>
        </w:tc>
        <w:tc>
          <w:tcPr>
            <w:tcW w:w="3827" w:type="dxa"/>
            <w:tcBorders>
              <w:top w:val="nil"/>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套餐包自启用后一年内有效。</w:t>
            </w:r>
            <w:r>
              <w:rPr>
                <w:rFonts w:eastAsia="仿宋"/>
                <w:sz w:val="18"/>
                <w:szCs w:val="18"/>
              </w:rPr>
              <w:br w:type="textWrapping"/>
            </w:r>
            <w:r>
              <w:rPr>
                <w:rFonts w:eastAsia="仿宋"/>
                <w:sz w:val="18"/>
                <w:szCs w:val="18"/>
              </w:rPr>
              <w:t>1.包含AI云服务资源，以下内容任选：</w:t>
            </w:r>
            <w:r>
              <w:rPr>
                <w:rFonts w:eastAsia="仿宋"/>
                <w:sz w:val="18"/>
                <w:szCs w:val="18"/>
              </w:rPr>
              <w:br w:type="textWrapping"/>
            </w:r>
            <w:r>
              <w:rPr>
                <w:rFonts w:eastAsia="仿宋"/>
                <w:sz w:val="18"/>
                <w:szCs w:val="18"/>
              </w:rPr>
              <w:t>1）人工智能应用API(含图像内容检测、实时语音识别、人脸搜索/对比/检测、通用文字识别、图片搜索查询等20+API)</w:t>
            </w:r>
            <w:r>
              <w:rPr>
                <w:rFonts w:eastAsia="仿宋"/>
                <w:sz w:val="18"/>
                <w:szCs w:val="18"/>
              </w:rPr>
              <w:br w:type="textWrapping"/>
            </w:r>
            <w:r>
              <w:rPr>
                <w:rFonts w:eastAsia="仿宋"/>
                <w:sz w:val="18"/>
                <w:szCs w:val="18"/>
              </w:rPr>
              <w:t>2） AI开发平台ModelArts，提供模型学习训练的技术平台及资源服务</w:t>
            </w:r>
            <w:r>
              <w:rPr>
                <w:rFonts w:eastAsia="仿宋"/>
                <w:sz w:val="18"/>
                <w:szCs w:val="18"/>
              </w:rPr>
              <w:br w:type="textWrapping"/>
            </w:r>
            <w:r>
              <w:rPr>
                <w:rFonts w:eastAsia="仿宋"/>
                <w:sz w:val="18"/>
                <w:szCs w:val="18"/>
              </w:rPr>
              <w:t>3） AI大数据服务，提供数据接入、云数据迁移、数据湖工厂、数据仓库、数据湖探索等服务</w:t>
            </w:r>
            <w:r>
              <w:rPr>
                <w:rFonts w:eastAsia="仿宋"/>
                <w:sz w:val="18"/>
                <w:szCs w:val="18"/>
              </w:rPr>
              <w:br w:type="textWrapping"/>
            </w:r>
            <w:r>
              <w:rPr>
                <w:rFonts w:eastAsia="仿宋"/>
                <w:sz w:val="18"/>
                <w:szCs w:val="18"/>
              </w:rPr>
              <w:t>2.咨询服务：</w:t>
            </w:r>
          </w:p>
          <w:p>
            <w:pPr>
              <w:widowControl/>
              <w:rPr>
                <w:rFonts w:eastAsia="仿宋"/>
                <w:sz w:val="18"/>
                <w:szCs w:val="18"/>
              </w:rPr>
            </w:pPr>
            <w:r>
              <w:rPr>
                <w:rFonts w:eastAsia="仿宋"/>
                <w:sz w:val="18"/>
                <w:szCs w:val="18"/>
              </w:rPr>
              <w:t>1）帮助企业梳理自身业务与人工智能、大数据等服务的结合点，配置并开通合适的云服务</w:t>
            </w:r>
          </w:p>
          <w:p>
            <w:pPr>
              <w:widowControl/>
              <w:rPr>
                <w:rFonts w:eastAsia="仿宋"/>
                <w:sz w:val="18"/>
                <w:szCs w:val="18"/>
              </w:rPr>
            </w:pPr>
            <w:r>
              <w:rPr>
                <w:rFonts w:eastAsia="仿宋"/>
                <w:sz w:val="18"/>
                <w:szCs w:val="18"/>
              </w:rPr>
              <w:t>2）提供5*8小时运营团队远程指导服务</w:t>
            </w:r>
          </w:p>
          <w:p>
            <w:pPr>
              <w:widowControl/>
              <w:rPr>
                <w:rFonts w:eastAsia="仿宋"/>
                <w:sz w:val="18"/>
                <w:szCs w:val="18"/>
              </w:rPr>
            </w:pPr>
            <w:r>
              <w:rPr>
                <w:rFonts w:eastAsia="仿宋"/>
                <w:sz w:val="18"/>
                <w:szCs w:val="18"/>
              </w:rPr>
              <w:t>3）提供不超过10人天的运营团队现场服务</w:t>
            </w:r>
          </w:p>
        </w:tc>
        <w:tc>
          <w:tcPr>
            <w:tcW w:w="992" w:type="dxa"/>
            <w:tcBorders>
              <w:top w:val="nil"/>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元/套餐包/年</w:t>
            </w:r>
          </w:p>
        </w:tc>
        <w:tc>
          <w:tcPr>
            <w:tcW w:w="1231" w:type="dxa"/>
            <w:tcBorders>
              <w:top w:val="nil"/>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 xml:space="preserve">¥410,000.00 </w:t>
            </w:r>
          </w:p>
        </w:tc>
        <w:tc>
          <w:tcPr>
            <w:tcW w:w="1240" w:type="dxa"/>
            <w:vMerge w:val="restart"/>
            <w:tcBorders>
              <w:top w:val="nil"/>
              <w:left w:val="nil"/>
              <w:bottom w:val="single" w:color="000000" w:sz="4" w:space="0"/>
              <w:right w:val="single" w:color="auto" w:sz="4" w:space="0"/>
            </w:tcBorders>
            <w:shd w:val="clear" w:color="auto" w:fill="auto"/>
            <w:noWrap/>
            <w:vAlign w:val="center"/>
          </w:tcPr>
          <w:p>
            <w:pPr>
              <w:widowControl/>
              <w:jc w:val="center"/>
              <w:rPr>
                <w:rFonts w:eastAsia="仿宋"/>
                <w:sz w:val="18"/>
                <w:szCs w:val="18"/>
              </w:rPr>
            </w:pPr>
            <w:r>
              <w:rPr>
                <w:rFonts w:eastAsia="仿宋"/>
                <w:sz w:val="18"/>
                <w:szCs w:val="18"/>
              </w:rPr>
              <w:t>¥550,000.00</w:t>
            </w:r>
          </w:p>
        </w:tc>
      </w:tr>
      <w:tr>
        <w:tblPrEx>
          <w:tblCellMar>
            <w:top w:w="0" w:type="dxa"/>
            <w:left w:w="108" w:type="dxa"/>
            <w:bottom w:w="0" w:type="dxa"/>
            <w:right w:w="108" w:type="dxa"/>
          </w:tblCellMar>
        </w:tblPrEx>
        <w:trPr>
          <w:trHeight w:val="1000" w:hRule="atLeast"/>
        </w:trPr>
        <w:tc>
          <w:tcPr>
            <w:tcW w:w="765" w:type="dxa"/>
            <w:vMerge w:val="continue"/>
            <w:tcBorders>
              <w:top w:val="nil"/>
              <w:left w:val="single" w:color="auto" w:sz="4" w:space="0"/>
              <w:bottom w:val="nil"/>
              <w:right w:val="single" w:color="auto" w:sz="4" w:space="0"/>
            </w:tcBorders>
            <w:shd w:val="clear" w:color="auto" w:fill="auto"/>
            <w:vAlign w:val="center"/>
          </w:tcPr>
          <w:p>
            <w:pPr>
              <w:rPr>
                <w:sz w:val="20"/>
                <w:szCs w:val="20"/>
              </w:rPr>
            </w:pPr>
          </w:p>
        </w:tc>
        <w:tc>
          <w:tcPr>
            <w:tcW w:w="643" w:type="dxa"/>
            <w:vMerge w:val="continue"/>
            <w:tcBorders>
              <w:top w:val="nil"/>
              <w:left w:val="nil"/>
              <w:bottom w:val="single" w:color="auto" w:sz="4" w:space="0"/>
              <w:right w:val="single" w:color="auto" w:sz="4" w:space="0"/>
            </w:tcBorders>
            <w:shd w:val="clear" w:color="auto" w:fill="auto"/>
            <w:vAlign w:val="center"/>
          </w:tcPr>
          <w:p>
            <w:pPr>
              <w:rPr>
                <w:sz w:val="20"/>
                <w:szCs w:val="20"/>
              </w:rPr>
            </w:pPr>
          </w:p>
        </w:tc>
        <w:tc>
          <w:tcPr>
            <w:tcW w:w="709" w:type="dxa"/>
            <w:vMerge w:val="continue"/>
            <w:tcBorders>
              <w:top w:val="nil"/>
              <w:left w:val="nil"/>
              <w:bottom w:val="single" w:color="auto" w:sz="4" w:space="0"/>
              <w:right w:val="single" w:color="auto" w:sz="4" w:space="0"/>
            </w:tcBorders>
            <w:shd w:val="clear" w:color="auto" w:fill="auto"/>
            <w:vAlign w:val="center"/>
          </w:tcPr>
          <w:p>
            <w:pPr>
              <w:rPr>
                <w:sz w:val="20"/>
                <w:szCs w:val="20"/>
              </w:rPr>
            </w:pPr>
          </w:p>
        </w:tc>
        <w:tc>
          <w:tcPr>
            <w:tcW w:w="3827"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推荐配置：</w:t>
            </w:r>
            <w:r>
              <w:rPr>
                <w:rFonts w:eastAsia="仿宋"/>
                <w:sz w:val="18"/>
                <w:szCs w:val="18"/>
              </w:rPr>
              <w:br w:type="textWrapping"/>
            </w:r>
            <w:r>
              <w:rPr>
                <w:rFonts w:eastAsia="仿宋"/>
                <w:sz w:val="18"/>
                <w:szCs w:val="18"/>
              </w:rPr>
              <w:t>虚机（16U64G  40G+500G硬盘）4台</w:t>
            </w:r>
          </w:p>
          <w:p>
            <w:pPr>
              <w:widowControl/>
              <w:rPr>
                <w:rFonts w:eastAsia="仿宋"/>
                <w:sz w:val="18"/>
                <w:szCs w:val="18"/>
              </w:rPr>
            </w:pPr>
            <w:r>
              <w:rPr>
                <w:rFonts w:eastAsia="仿宋"/>
                <w:sz w:val="18"/>
                <w:szCs w:val="18"/>
              </w:rPr>
              <w:t>EIP  2个</w:t>
            </w:r>
          </w:p>
          <w:p>
            <w:pPr>
              <w:widowControl/>
              <w:rPr>
                <w:rFonts w:eastAsia="仿宋"/>
                <w:sz w:val="18"/>
                <w:szCs w:val="18"/>
              </w:rPr>
            </w:pPr>
            <w:r>
              <w:rPr>
                <w:rFonts w:eastAsia="仿宋"/>
                <w:sz w:val="18"/>
                <w:szCs w:val="18"/>
              </w:rPr>
              <w:t>带宽（10M） 2个</w:t>
            </w:r>
          </w:p>
          <w:p>
            <w:pPr>
              <w:widowControl/>
              <w:rPr>
                <w:rFonts w:eastAsia="仿宋"/>
                <w:sz w:val="18"/>
                <w:szCs w:val="18"/>
              </w:rPr>
            </w:pPr>
            <w:r>
              <w:rPr>
                <w:rFonts w:eastAsia="仿宋"/>
                <w:sz w:val="18"/>
                <w:szCs w:val="18"/>
              </w:rPr>
              <w:t>RDS_MySQL（16U64G 500G存储） 1个</w:t>
            </w:r>
          </w:p>
          <w:p>
            <w:pPr>
              <w:widowControl/>
              <w:rPr>
                <w:rFonts w:eastAsia="仿宋"/>
                <w:sz w:val="18"/>
                <w:szCs w:val="18"/>
              </w:rPr>
            </w:pPr>
            <w:r>
              <w:rPr>
                <w:rFonts w:eastAsia="仿宋"/>
                <w:sz w:val="18"/>
                <w:szCs w:val="18"/>
              </w:rPr>
              <w:t>OBS(1TB存储)  1个</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元/套餐包/年</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 xml:space="preserve">¥140,000.00 </w:t>
            </w:r>
          </w:p>
        </w:tc>
        <w:tc>
          <w:tcPr>
            <w:tcW w:w="1240" w:type="dxa"/>
            <w:vMerge w:val="continue"/>
            <w:tcBorders>
              <w:top w:val="nil"/>
              <w:left w:val="nil"/>
              <w:bottom w:val="single" w:color="000000" w:sz="4" w:space="0"/>
              <w:right w:val="single" w:color="auto" w:sz="4" w:space="0"/>
            </w:tcBorders>
            <w:shd w:val="clear" w:color="auto" w:fill="auto"/>
            <w:noWrap/>
            <w:vAlign w:val="center"/>
          </w:tcPr>
          <w:p>
            <w:pPr>
              <w:rPr>
                <w:sz w:val="20"/>
                <w:szCs w:val="20"/>
              </w:rPr>
            </w:pPr>
          </w:p>
        </w:tc>
      </w:tr>
      <w:tr>
        <w:tblPrEx>
          <w:tblCellMar>
            <w:top w:w="0" w:type="dxa"/>
            <w:left w:w="108" w:type="dxa"/>
            <w:bottom w:w="0" w:type="dxa"/>
            <w:right w:w="108" w:type="dxa"/>
          </w:tblCellMar>
        </w:tblPrEx>
        <w:trPr>
          <w:trHeight w:val="1000" w:hRule="atLeast"/>
        </w:trPr>
        <w:tc>
          <w:tcPr>
            <w:tcW w:w="765" w:type="dxa"/>
            <w:vMerge w:val="continue"/>
            <w:tcBorders>
              <w:top w:val="nil"/>
              <w:left w:val="single" w:color="auto" w:sz="4" w:space="0"/>
              <w:bottom w:val="nil"/>
              <w:right w:val="single" w:color="auto" w:sz="4" w:space="0"/>
            </w:tcBorders>
            <w:shd w:val="clear" w:color="auto" w:fill="auto"/>
            <w:vAlign w:val="center"/>
          </w:tcPr>
          <w:p>
            <w:pPr>
              <w:rPr>
                <w:sz w:val="20"/>
                <w:szCs w:val="20"/>
              </w:rPr>
            </w:pPr>
          </w:p>
        </w:tc>
        <w:tc>
          <w:tcPr>
            <w:tcW w:w="643" w:type="dxa"/>
            <w:vMerge w:val="restart"/>
            <w:tcBorders>
              <w:top w:val="nil"/>
              <w:left w:val="nil"/>
              <w:bottom w:val="nil"/>
              <w:right w:val="single" w:color="auto" w:sz="4" w:space="0"/>
            </w:tcBorders>
            <w:shd w:val="clear" w:color="auto" w:fill="auto"/>
            <w:vAlign w:val="center"/>
          </w:tcPr>
          <w:p>
            <w:pPr>
              <w:widowControl/>
              <w:jc w:val="center"/>
              <w:rPr>
                <w:rFonts w:eastAsia="仿宋"/>
                <w:sz w:val="18"/>
                <w:szCs w:val="18"/>
              </w:rPr>
            </w:pPr>
            <w:r>
              <w:rPr>
                <w:rFonts w:eastAsia="仿宋"/>
                <w:sz w:val="18"/>
                <w:szCs w:val="18"/>
              </w:rPr>
              <w:t>6</w:t>
            </w:r>
          </w:p>
        </w:tc>
        <w:tc>
          <w:tcPr>
            <w:tcW w:w="709" w:type="dxa"/>
            <w:vMerge w:val="restart"/>
            <w:tcBorders>
              <w:top w:val="nil"/>
              <w:left w:val="nil"/>
              <w:bottom w:val="nil"/>
              <w:right w:val="single" w:color="auto" w:sz="4" w:space="0"/>
            </w:tcBorders>
            <w:shd w:val="clear" w:color="auto" w:fill="auto"/>
            <w:vAlign w:val="center"/>
          </w:tcPr>
          <w:p>
            <w:pPr>
              <w:widowControl/>
              <w:rPr>
                <w:rFonts w:eastAsia="仿宋"/>
                <w:sz w:val="18"/>
                <w:szCs w:val="18"/>
              </w:rPr>
            </w:pPr>
            <w:r>
              <w:rPr>
                <w:rFonts w:eastAsia="仿宋"/>
                <w:sz w:val="18"/>
                <w:szCs w:val="18"/>
              </w:rPr>
              <w:t>AI使能标杆套餐包</w:t>
            </w:r>
          </w:p>
        </w:tc>
        <w:tc>
          <w:tcPr>
            <w:tcW w:w="3827"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套餐包自启用后一年内有效。</w:t>
            </w:r>
            <w:r>
              <w:rPr>
                <w:rFonts w:eastAsia="仿宋"/>
                <w:sz w:val="18"/>
                <w:szCs w:val="18"/>
              </w:rPr>
              <w:br w:type="textWrapping"/>
            </w:r>
            <w:r>
              <w:rPr>
                <w:rFonts w:eastAsia="仿宋"/>
                <w:sz w:val="18"/>
                <w:szCs w:val="18"/>
              </w:rPr>
              <w:t>1.包含AI云服务资源，以下内容任选：</w:t>
            </w:r>
            <w:r>
              <w:rPr>
                <w:rFonts w:eastAsia="仿宋"/>
                <w:sz w:val="18"/>
                <w:szCs w:val="18"/>
              </w:rPr>
              <w:br w:type="textWrapping"/>
            </w:r>
            <w:r>
              <w:rPr>
                <w:rFonts w:eastAsia="仿宋"/>
                <w:sz w:val="18"/>
                <w:szCs w:val="18"/>
              </w:rPr>
              <w:t>1）人工智能应用API(含图像内容检测、实时语音识别、人脸搜索/对比/检测、通用文字识别、图片搜索查询等20+API)</w:t>
            </w:r>
            <w:r>
              <w:rPr>
                <w:rFonts w:eastAsia="仿宋"/>
                <w:sz w:val="18"/>
                <w:szCs w:val="18"/>
              </w:rPr>
              <w:br w:type="textWrapping"/>
            </w:r>
            <w:r>
              <w:rPr>
                <w:rFonts w:eastAsia="仿宋"/>
                <w:sz w:val="18"/>
                <w:szCs w:val="18"/>
              </w:rPr>
              <w:t>2） AI开发平台ModelArts，提供模型学习训练的技术平台及资源服务</w:t>
            </w:r>
            <w:r>
              <w:rPr>
                <w:rFonts w:eastAsia="仿宋"/>
                <w:sz w:val="18"/>
                <w:szCs w:val="18"/>
              </w:rPr>
              <w:br w:type="textWrapping"/>
            </w:r>
            <w:r>
              <w:rPr>
                <w:rFonts w:eastAsia="仿宋"/>
                <w:sz w:val="18"/>
                <w:szCs w:val="18"/>
              </w:rPr>
              <w:t>3） AI大数据服务，提供数据接入、云数据迁移、数据湖工厂、数据仓库、数据湖探索等服务</w:t>
            </w:r>
            <w:r>
              <w:rPr>
                <w:rFonts w:eastAsia="仿宋"/>
                <w:sz w:val="18"/>
                <w:szCs w:val="18"/>
              </w:rPr>
              <w:br w:type="textWrapping"/>
            </w:r>
            <w:r>
              <w:rPr>
                <w:rFonts w:eastAsia="仿宋"/>
                <w:sz w:val="18"/>
                <w:szCs w:val="18"/>
              </w:rPr>
              <w:t>2.咨询服务：</w:t>
            </w:r>
          </w:p>
          <w:p>
            <w:pPr>
              <w:widowControl/>
              <w:rPr>
                <w:rFonts w:eastAsia="仿宋"/>
                <w:sz w:val="18"/>
                <w:szCs w:val="18"/>
              </w:rPr>
            </w:pPr>
            <w:r>
              <w:rPr>
                <w:rFonts w:eastAsia="仿宋"/>
                <w:sz w:val="18"/>
                <w:szCs w:val="18"/>
              </w:rPr>
              <w:t>1）帮助企业梳理自身业务与人工智能、大数据等服务的结合点，配置并开通合适的云服务</w:t>
            </w:r>
          </w:p>
          <w:p>
            <w:pPr>
              <w:widowControl/>
              <w:rPr>
                <w:rFonts w:eastAsia="仿宋"/>
                <w:sz w:val="18"/>
                <w:szCs w:val="18"/>
              </w:rPr>
            </w:pPr>
            <w:r>
              <w:rPr>
                <w:rFonts w:eastAsia="仿宋"/>
                <w:sz w:val="18"/>
                <w:szCs w:val="18"/>
              </w:rPr>
              <w:t>2）提供5*8小时运营团队远程指导服务</w:t>
            </w:r>
          </w:p>
          <w:p>
            <w:pPr>
              <w:widowControl/>
              <w:rPr>
                <w:rFonts w:eastAsia="仿宋"/>
                <w:sz w:val="18"/>
                <w:szCs w:val="18"/>
              </w:rPr>
            </w:pPr>
            <w:r>
              <w:rPr>
                <w:rFonts w:eastAsia="仿宋"/>
                <w:sz w:val="18"/>
                <w:szCs w:val="18"/>
              </w:rPr>
              <w:t>3）提供不超过10人天的运营团队现场服务</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元/套餐包/年</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 xml:space="preserve">¥560,000.00 </w:t>
            </w:r>
          </w:p>
        </w:tc>
        <w:tc>
          <w:tcPr>
            <w:tcW w:w="1240" w:type="dxa"/>
            <w:vMerge w:val="restart"/>
            <w:tcBorders>
              <w:top w:val="nil"/>
              <w:left w:val="nil"/>
              <w:bottom w:val="nil"/>
              <w:right w:val="single" w:color="auto" w:sz="4" w:space="0"/>
            </w:tcBorders>
            <w:shd w:val="clear" w:color="auto" w:fill="auto"/>
            <w:vAlign w:val="center"/>
          </w:tcPr>
          <w:p>
            <w:pPr>
              <w:widowControl/>
              <w:jc w:val="center"/>
              <w:rPr>
                <w:rFonts w:eastAsia="仿宋"/>
                <w:sz w:val="18"/>
                <w:szCs w:val="18"/>
              </w:rPr>
            </w:pPr>
            <w:r>
              <w:rPr>
                <w:rFonts w:eastAsia="仿宋"/>
                <w:sz w:val="18"/>
                <w:szCs w:val="18"/>
              </w:rPr>
              <w:t>¥750,000.00</w:t>
            </w:r>
          </w:p>
        </w:tc>
      </w:tr>
      <w:tr>
        <w:tblPrEx>
          <w:tblCellMar>
            <w:top w:w="0" w:type="dxa"/>
            <w:left w:w="108" w:type="dxa"/>
            <w:bottom w:w="0" w:type="dxa"/>
            <w:right w:w="108" w:type="dxa"/>
          </w:tblCellMar>
        </w:tblPrEx>
        <w:trPr>
          <w:trHeight w:val="1000" w:hRule="atLeast"/>
        </w:trPr>
        <w:tc>
          <w:tcPr>
            <w:tcW w:w="765" w:type="dxa"/>
            <w:vMerge w:val="continue"/>
            <w:tcBorders>
              <w:top w:val="nil"/>
              <w:left w:val="single" w:color="auto" w:sz="4" w:space="0"/>
              <w:bottom w:val="nil"/>
              <w:right w:val="single" w:color="auto" w:sz="4" w:space="0"/>
            </w:tcBorders>
            <w:shd w:val="clear" w:color="auto" w:fill="auto"/>
            <w:vAlign w:val="center"/>
          </w:tcPr>
          <w:p>
            <w:pPr>
              <w:rPr>
                <w:sz w:val="20"/>
                <w:szCs w:val="20"/>
              </w:rPr>
            </w:pPr>
          </w:p>
        </w:tc>
        <w:tc>
          <w:tcPr>
            <w:tcW w:w="643" w:type="dxa"/>
            <w:vMerge w:val="continue"/>
            <w:tcBorders>
              <w:top w:val="nil"/>
              <w:left w:val="nil"/>
              <w:bottom w:val="nil"/>
              <w:right w:val="single" w:color="auto" w:sz="4" w:space="0"/>
            </w:tcBorders>
            <w:shd w:val="clear" w:color="auto" w:fill="auto"/>
            <w:vAlign w:val="center"/>
          </w:tcPr>
          <w:p>
            <w:pPr>
              <w:rPr>
                <w:sz w:val="20"/>
                <w:szCs w:val="20"/>
              </w:rPr>
            </w:pPr>
          </w:p>
        </w:tc>
        <w:tc>
          <w:tcPr>
            <w:tcW w:w="709" w:type="dxa"/>
            <w:vMerge w:val="continue"/>
            <w:tcBorders>
              <w:top w:val="nil"/>
              <w:left w:val="nil"/>
              <w:bottom w:val="nil"/>
              <w:right w:val="single" w:color="auto" w:sz="4" w:space="0"/>
            </w:tcBorders>
            <w:shd w:val="clear" w:color="auto" w:fill="auto"/>
            <w:vAlign w:val="center"/>
          </w:tcPr>
          <w:p>
            <w:pPr>
              <w:rPr>
                <w:sz w:val="20"/>
                <w:szCs w:val="20"/>
              </w:rPr>
            </w:pPr>
          </w:p>
        </w:tc>
        <w:tc>
          <w:tcPr>
            <w:tcW w:w="3827"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推荐配置：</w:t>
            </w:r>
            <w:r>
              <w:rPr>
                <w:rFonts w:eastAsia="仿宋"/>
                <w:sz w:val="18"/>
                <w:szCs w:val="18"/>
              </w:rPr>
              <w:br w:type="textWrapping"/>
            </w:r>
            <w:r>
              <w:rPr>
                <w:rFonts w:eastAsia="仿宋"/>
                <w:sz w:val="18"/>
                <w:szCs w:val="18"/>
              </w:rPr>
              <w:t>虚机（16U64G  40G+500G硬盘）4台</w:t>
            </w:r>
          </w:p>
          <w:p>
            <w:pPr>
              <w:widowControl/>
              <w:rPr>
                <w:rFonts w:eastAsia="仿宋"/>
                <w:sz w:val="18"/>
                <w:szCs w:val="18"/>
              </w:rPr>
            </w:pPr>
            <w:r>
              <w:rPr>
                <w:rFonts w:eastAsia="仿宋"/>
                <w:sz w:val="18"/>
                <w:szCs w:val="18"/>
              </w:rPr>
              <w:t>虚机（8U16G  40G+500G硬盘）4台</w:t>
            </w:r>
          </w:p>
          <w:p>
            <w:pPr>
              <w:widowControl/>
              <w:rPr>
                <w:rFonts w:eastAsia="仿宋"/>
                <w:sz w:val="18"/>
                <w:szCs w:val="18"/>
              </w:rPr>
            </w:pPr>
            <w:r>
              <w:rPr>
                <w:rFonts w:eastAsia="仿宋"/>
                <w:sz w:val="18"/>
                <w:szCs w:val="18"/>
              </w:rPr>
              <w:t>EIP  4个</w:t>
            </w:r>
          </w:p>
          <w:p>
            <w:pPr>
              <w:widowControl/>
              <w:rPr>
                <w:rFonts w:eastAsia="仿宋"/>
                <w:sz w:val="18"/>
                <w:szCs w:val="18"/>
              </w:rPr>
            </w:pPr>
            <w:r>
              <w:rPr>
                <w:rFonts w:eastAsia="仿宋"/>
                <w:sz w:val="18"/>
                <w:szCs w:val="18"/>
              </w:rPr>
              <w:t>带宽（10M） 2个</w:t>
            </w:r>
          </w:p>
          <w:p>
            <w:pPr>
              <w:widowControl/>
              <w:rPr>
                <w:rFonts w:eastAsia="仿宋"/>
                <w:sz w:val="18"/>
                <w:szCs w:val="18"/>
              </w:rPr>
            </w:pPr>
            <w:r>
              <w:rPr>
                <w:rFonts w:eastAsia="仿宋"/>
                <w:sz w:val="18"/>
                <w:szCs w:val="18"/>
              </w:rPr>
              <w:t>带宽（5M） 2个</w:t>
            </w:r>
          </w:p>
          <w:p>
            <w:pPr>
              <w:widowControl/>
              <w:rPr>
                <w:rFonts w:eastAsia="仿宋"/>
                <w:sz w:val="18"/>
                <w:szCs w:val="18"/>
              </w:rPr>
            </w:pPr>
            <w:r>
              <w:rPr>
                <w:rFonts w:eastAsia="仿宋"/>
                <w:sz w:val="18"/>
                <w:szCs w:val="18"/>
              </w:rPr>
              <w:t>RDS_MySQL（16U64G 500G存储） 1个</w:t>
            </w:r>
          </w:p>
          <w:p>
            <w:pPr>
              <w:widowControl/>
              <w:rPr>
                <w:rFonts w:eastAsia="仿宋"/>
                <w:sz w:val="18"/>
                <w:szCs w:val="18"/>
              </w:rPr>
            </w:pPr>
            <w:r>
              <w:rPr>
                <w:rFonts w:eastAsia="仿宋"/>
                <w:sz w:val="18"/>
                <w:szCs w:val="18"/>
              </w:rPr>
              <w:t>RDS_MySQL（4U16G 500G存储） 1个</w:t>
            </w:r>
          </w:p>
          <w:p>
            <w:pPr>
              <w:widowControl/>
              <w:rPr>
                <w:rFonts w:eastAsia="仿宋"/>
                <w:sz w:val="18"/>
                <w:szCs w:val="18"/>
              </w:rPr>
            </w:pPr>
            <w:r>
              <w:rPr>
                <w:rFonts w:eastAsia="仿宋"/>
                <w:sz w:val="18"/>
                <w:szCs w:val="18"/>
              </w:rPr>
              <w:t>OBS(1TB存储)  1个</w:t>
            </w:r>
          </w:p>
          <w:p>
            <w:pPr>
              <w:widowControl/>
              <w:rPr>
                <w:rFonts w:eastAsia="仿宋"/>
                <w:sz w:val="18"/>
                <w:szCs w:val="18"/>
              </w:rPr>
            </w:pPr>
            <w:r>
              <w:rPr>
                <w:rFonts w:eastAsia="仿宋"/>
                <w:sz w:val="18"/>
                <w:szCs w:val="18"/>
              </w:rPr>
              <w:t>OBS(500G存储)  1个</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元/套餐包/年</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 xml:space="preserve">¥190,000.00 </w:t>
            </w:r>
          </w:p>
        </w:tc>
        <w:tc>
          <w:tcPr>
            <w:tcW w:w="1240" w:type="dxa"/>
            <w:vMerge w:val="continue"/>
            <w:tcBorders>
              <w:top w:val="nil"/>
              <w:left w:val="nil"/>
              <w:bottom w:val="nil"/>
              <w:right w:val="single" w:color="auto" w:sz="4" w:space="0"/>
            </w:tcBorders>
            <w:shd w:val="clear" w:color="auto" w:fill="auto"/>
            <w:vAlign w:val="center"/>
          </w:tcPr>
          <w:p>
            <w:pPr>
              <w:rPr>
                <w:sz w:val="20"/>
                <w:szCs w:val="20"/>
              </w:rPr>
            </w:pPr>
          </w:p>
        </w:tc>
      </w:tr>
      <w:tr>
        <w:tblPrEx>
          <w:tblCellMar>
            <w:top w:w="0" w:type="dxa"/>
            <w:left w:w="108" w:type="dxa"/>
            <w:bottom w:w="0" w:type="dxa"/>
            <w:right w:w="108" w:type="dxa"/>
          </w:tblCellMar>
        </w:tblPrEx>
        <w:trPr>
          <w:trHeight w:val="1000" w:hRule="atLeast"/>
        </w:trPr>
        <w:tc>
          <w:tcPr>
            <w:tcW w:w="765" w:type="dxa"/>
            <w:vMerge w:val="continue"/>
            <w:tcBorders>
              <w:top w:val="nil"/>
              <w:left w:val="single" w:color="auto" w:sz="4" w:space="0"/>
              <w:bottom w:val="nil"/>
              <w:right w:val="single" w:color="auto" w:sz="4" w:space="0"/>
            </w:tcBorders>
            <w:shd w:val="clear" w:color="auto" w:fill="auto"/>
            <w:vAlign w:val="center"/>
          </w:tcPr>
          <w:p>
            <w:pPr>
              <w:rPr>
                <w:sz w:val="20"/>
                <w:szCs w:val="20"/>
              </w:rPr>
            </w:pPr>
          </w:p>
        </w:tc>
        <w:tc>
          <w:tcPr>
            <w:tcW w:w="6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
                <w:sz w:val="18"/>
                <w:szCs w:val="18"/>
              </w:rPr>
            </w:pPr>
            <w:r>
              <w:rPr>
                <w:rFonts w:eastAsia="仿宋"/>
                <w:sz w:val="18"/>
                <w:szCs w:val="18"/>
              </w:rPr>
              <w:t>7</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AI使能严选套餐</w:t>
            </w:r>
          </w:p>
        </w:tc>
        <w:tc>
          <w:tcPr>
            <w:tcW w:w="3827"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包含华为云上现有AI严选自营方案。</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元/方案</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参考华为官网</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参考华为官网</w:t>
            </w:r>
          </w:p>
        </w:tc>
      </w:tr>
      <w:tr>
        <w:tblPrEx>
          <w:tblCellMar>
            <w:top w:w="0" w:type="dxa"/>
            <w:left w:w="108" w:type="dxa"/>
            <w:bottom w:w="0" w:type="dxa"/>
            <w:right w:w="108" w:type="dxa"/>
          </w:tblCellMar>
        </w:tblPrEx>
        <w:trPr>
          <w:trHeight w:val="1000" w:hRule="atLeast"/>
        </w:trPr>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sz w:val="18"/>
                <w:szCs w:val="18"/>
              </w:rPr>
            </w:pPr>
          </w:p>
        </w:tc>
        <w:tc>
          <w:tcPr>
            <w:tcW w:w="6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
                <w:sz w:val="18"/>
                <w:szCs w:val="18"/>
              </w:rPr>
            </w:pPr>
            <w:r>
              <w:rPr>
                <w:rFonts w:eastAsia="仿宋"/>
                <w:sz w:val="18"/>
                <w:szCs w:val="18"/>
              </w:rPr>
              <w:t>8</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AI联营联运套餐</w:t>
            </w:r>
          </w:p>
        </w:tc>
        <w:tc>
          <w:tcPr>
            <w:tcW w:w="3827"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包含华为云上现有AI联营联运方案。</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元/方案</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参考华为官网</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参考华为官网</w:t>
            </w:r>
          </w:p>
        </w:tc>
      </w:tr>
      <w:tr>
        <w:tblPrEx>
          <w:tblCellMar>
            <w:top w:w="0" w:type="dxa"/>
            <w:left w:w="108" w:type="dxa"/>
            <w:bottom w:w="0" w:type="dxa"/>
            <w:right w:w="108" w:type="dxa"/>
          </w:tblCellMar>
        </w:tblPrEx>
        <w:trPr>
          <w:trHeight w:val="553" w:hRule="atLeast"/>
        </w:trPr>
        <w:tc>
          <w:tcPr>
            <w:tcW w:w="9407"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
                <w:sz w:val="18"/>
                <w:szCs w:val="18"/>
              </w:rPr>
            </w:pPr>
            <w:r>
              <w:rPr>
                <w:rFonts w:eastAsia="仿宋"/>
                <w:sz w:val="18"/>
                <w:szCs w:val="18"/>
              </w:rPr>
              <w:t>备注：原则上每次申报单个项目只允许申请一项华为AI使能服务套餐，使能套餐包内为示意配置，申报单位可根据自身业务需求选择云服务。</w:t>
            </w:r>
          </w:p>
        </w:tc>
      </w:tr>
    </w:tbl>
    <w:p>
      <w:pPr>
        <w:rPr>
          <w:rFonts w:eastAsia="仿宋"/>
          <w:b/>
          <w:szCs w:val="21"/>
        </w:rPr>
      </w:pPr>
    </w:p>
    <w:tbl>
      <w:tblPr>
        <w:tblStyle w:val="4"/>
        <w:tblW w:w="9377" w:type="dxa"/>
        <w:tblInd w:w="113" w:type="dxa"/>
        <w:tblLayout w:type="fixed"/>
        <w:tblCellMar>
          <w:top w:w="0" w:type="dxa"/>
          <w:left w:w="108" w:type="dxa"/>
          <w:bottom w:w="0" w:type="dxa"/>
          <w:right w:w="108" w:type="dxa"/>
        </w:tblCellMar>
      </w:tblPr>
      <w:tblGrid>
        <w:gridCol w:w="837"/>
        <w:gridCol w:w="576"/>
        <w:gridCol w:w="732"/>
        <w:gridCol w:w="4904"/>
        <w:gridCol w:w="793"/>
        <w:gridCol w:w="1535"/>
      </w:tblGrid>
      <w:tr>
        <w:trPr>
          <w:trHeight w:val="814" w:hRule="atLeast"/>
        </w:trPr>
        <w:tc>
          <w:tcPr>
            <w:tcW w:w="9377" w:type="dxa"/>
            <w:gridSpan w:val="6"/>
            <w:tcBorders>
              <w:top w:val="single" w:color="auto" w:sz="4" w:space="0"/>
              <w:left w:val="single" w:color="auto" w:sz="4" w:space="0"/>
              <w:bottom w:val="nil"/>
              <w:right w:val="single" w:color="auto" w:sz="4" w:space="0"/>
            </w:tcBorders>
            <w:shd w:val="clear" w:color="auto" w:fill="auto"/>
            <w:vAlign w:val="center"/>
          </w:tcPr>
          <w:p>
            <w:pPr>
              <w:widowControl/>
              <w:jc w:val="center"/>
              <w:rPr>
                <w:rFonts w:eastAsia="黑体"/>
                <w:b/>
                <w:sz w:val="18"/>
                <w:szCs w:val="18"/>
              </w:rPr>
            </w:pPr>
            <w:r>
              <w:rPr>
                <w:rFonts w:eastAsia="黑体"/>
                <w:b/>
                <w:sz w:val="28"/>
                <w:szCs w:val="28"/>
              </w:rPr>
              <w:t>二、华为AI培训服务</w:t>
            </w:r>
          </w:p>
        </w:tc>
      </w:tr>
      <w:tr>
        <w:tblPrEx>
          <w:tblCellMar>
            <w:top w:w="0" w:type="dxa"/>
            <w:left w:w="108" w:type="dxa"/>
            <w:bottom w:w="0" w:type="dxa"/>
            <w:right w:w="108" w:type="dxa"/>
          </w:tblCellMar>
        </w:tblPrEx>
        <w:trPr>
          <w:trHeight w:val="1680" w:hRule="atLeast"/>
        </w:trPr>
        <w:tc>
          <w:tcPr>
            <w:tcW w:w="837"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eastAsia="仿宋"/>
                <w:sz w:val="18"/>
                <w:szCs w:val="18"/>
              </w:rPr>
            </w:pPr>
            <w:r>
              <w:rPr>
                <w:rFonts w:eastAsia="仿宋"/>
                <w:sz w:val="18"/>
                <w:szCs w:val="18"/>
              </w:rPr>
              <w:t>华为AI培训服务</w:t>
            </w:r>
          </w:p>
        </w:tc>
        <w:tc>
          <w:tcPr>
            <w:tcW w:w="5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
                <w:sz w:val="18"/>
                <w:szCs w:val="18"/>
              </w:rPr>
            </w:pPr>
            <w:r>
              <w:rPr>
                <w:rFonts w:eastAsia="仿宋"/>
                <w:sz w:val="18"/>
                <w:szCs w:val="18"/>
              </w:rPr>
              <w:t>1</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华为云大数据工程师培训班</w:t>
            </w:r>
          </w:p>
        </w:tc>
        <w:tc>
          <w:tcPr>
            <w:tcW w:w="4904"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定位于培养系统理解大数据架构、技术原理，熟练掌握华为云大数据平台MRS服务方案，同时具备大数据平台部署和运维管理能力的工程师。</w:t>
            </w:r>
          </w:p>
          <w:p>
            <w:pPr>
              <w:widowControl/>
              <w:rPr>
                <w:rFonts w:eastAsia="仿宋"/>
                <w:sz w:val="18"/>
                <w:szCs w:val="18"/>
              </w:rPr>
            </w:pPr>
            <w:r>
              <w:rPr>
                <w:rFonts w:eastAsia="仿宋"/>
                <w:sz w:val="18"/>
                <w:szCs w:val="18"/>
              </w:rPr>
              <w:t>内容包括：大数据发展趋势与鲲鹏大数据；常用大数据组件技术原理及应用：HDFS分布式文件系统与Zookeeper，Hive分布式数据仓库，HBase技术原理，MapReduce和Yarn技术原理，Spark基于内存的分布式计算，Flink流计算处理和批处理平台，Flume海量日志聚合，Loader数据转换，Kafka分布式消息订阅系统，Hadoop基础技术-Kerberos&amp;LDAP，Elasticsearch分布式搜索引擎；华为大数据解决方案介绍；基于华为云上大数据组件的实战演练以及大数据综合应用实战。</w:t>
            </w:r>
          </w:p>
          <w:p>
            <w:pPr>
              <w:widowControl/>
              <w:rPr>
                <w:rFonts w:eastAsia="仿宋"/>
                <w:b/>
                <w:sz w:val="18"/>
                <w:szCs w:val="18"/>
              </w:rPr>
            </w:pPr>
            <w:r>
              <w:rPr>
                <w:rFonts w:eastAsia="仿宋"/>
                <w:b/>
                <w:sz w:val="18"/>
                <w:szCs w:val="18"/>
              </w:rPr>
              <w:t>具体服务标准为：</w:t>
            </w:r>
          </w:p>
          <w:p>
            <w:pPr>
              <w:widowControl/>
              <w:rPr>
                <w:rFonts w:eastAsia="仿宋"/>
                <w:sz w:val="18"/>
                <w:szCs w:val="18"/>
              </w:rPr>
            </w:pPr>
            <w:r>
              <w:rPr>
                <w:rFonts w:eastAsia="仿宋"/>
                <w:sz w:val="18"/>
                <w:szCs w:val="18"/>
              </w:rPr>
              <w:t>1.培训时长5天，20人以内</w:t>
            </w:r>
          </w:p>
          <w:p>
            <w:pPr>
              <w:widowControl/>
              <w:rPr>
                <w:rFonts w:eastAsia="仿宋"/>
                <w:sz w:val="18"/>
                <w:szCs w:val="18"/>
              </w:rPr>
            </w:pPr>
            <w:r>
              <w:rPr>
                <w:rFonts w:eastAsia="仿宋"/>
                <w:sz w:val="18"/>
                <w:szCs w:val="18"/>
              </w:rPr>
              <w:t>2.华为认证资深培训讲师（大数据高级技术专家，5年以上丰富的大数据相关技术开发与培训经验）</w:t>
            </w:r>
          </w:p>
          <w:p>
            <w:pPr>
              <w:widowControl/>
              <w:rPr>
                <w:rFonts w:eastAsia="仿宋"/>
                <w:sz w:val="18"/>
                <w:szCs w:val="18"/>
              </w:rPr>
            </w:pPr>
            <w:r>
              <w:rPr>
                <w:rFonts w:eastAsia="仿宋"/>
                <w:sz w:val="18"/>
                <w:szCs w:val="18"/>
              </w:rPr>
              <w:t>3.培训后3个月内本地团队咨询服务</w:t>
            </w:r>
          </w:p>
        </w:tc>
        <w:tc>
          <w:tcPr>
            <w:tcW w:w="793"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eastAsia="仿宋"/>
                <w:sz w:val="18"/>
                <w:szCs w:val="18"/>
              </w:rPr>
            </w:pPr>
            <w:r>
              <w:rPr>
                <w:rFonts w:eastAsia="仿宋"/>
                <w:sz w:val="18"/>
                <w:szCs w:val="18"/>
              </w:rPr>
              <w:t>元/班/次</w:t>
            </w:r>
          </w:p>
        </w:tc>
        <w:tc>
          <w:tcPr>
            <w:tcW w:w="1535"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¥214,900.00</w:t>
            </w:r>
          </w:p>
        </w:tc>
      </w:tr>
      <w:tr>
        <w:tblPrEx>
          <w:tblCellMar>
            <w:top w:w="0" w:type="dxa"/>
            <w:left w:w="108" w:type="dxa"/>
            <w:bottom w:w="0" w:type="dxa"/>
            <w:right w:w="108" w:type="dxa"/>
          </w:tblCellMar>
        </w:tblPrEx>
        <w:trPr>
          <w:trHeight w:val="1680" w:hRule="atLeast"/>
        </w:trPr>
        <w:tc>
          <w:tcPr>
            <w:tcW w:w="837" w:type="dxa"/>
            <w:vMerge w:val="continue"/>
            <w:tcBorders>
              <w:top w:val="single" w:color="auto" w:sz="4" w:space="0"/>
              <w:left w:val="single" w:color="auto" w:sz="4" w:space="0"/>
              <w:bottom w:val="nil"/>
              <w:right w:val="single" w:color="auto" w:sz="4" w:space="0"/>
            </w:tcBorders>
            <w:shd w:val="clear" w:color="auto" w:fill="auto"/>
            <w:vAlign w:val="center"/>
          </w:tcPr>
          <w:p>
            <w:pPr>
              <w:rPr>
                <w:sz w:val="20"/>
                <w:szCs w:val="20"/>
              </w:rPr>
            </w:pPr>
          </w:p>
        </w:tc>
        <w:tc>
          <w:tcPr>
            <w:tcW w:w="5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
                <w:sz w:val="18"/>
                <w:szCs w:val="18"/>
              </w:rPr>
            </w:pPr>
            <w:r>
              <w:rPr>
                <w:rFonts w:eastAsia="仿宋"/>
                <w:sz w:val="18"/>
                <w:szCs w:val="18"/>
              </w:rPr>
              <w:t>2</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人工智能总裁培训班</w:t>
            </w:r>
          </w:p>
        </w:tc>
        <w:tc>
          <w:tcPr>
            <w:tcW w:w="4904"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定位于向企业高管、政府领导，高校领导，讲解人工智能行业趋势、商业应用与解决方案，以支持人工智能战略方向把握以及决策；</w:t>
            </w:r>
          </w:p>
          <w:p>
            <w:pPr>
              <w:widowControl/>
              <w:rPr>
                <w:rFonts w:eastAsia="仿宋"/>
                <w:sz w:val="18"/>
                <w:szCs w:val="18"/>
              </w:rPr>
            </w:pPr>
            <w:r>
              <w:rPr>
                <w:rFonts w:eastAsia="仿宋"/>
                <w:sz w:val="18"/>
                <w:szCs w:val="18"/>
              </w:rPr>
              <w:t>内容包括：</w:t>
            </w:r>
          </w:p>
          <w:p>
            <w:pPr>
              <w:widowControl/>
              <w:rPr>
                <w:rFonts w:eastAsia="仿宋"/>
                <w:sz w:val="18"/>
                <w:szCs w:val="18"/>
              </w:rPr>
            </w:pPr>
            <w:r>
              <w:rPr>
                <w:rFonts w:eastAsia="仿宋"/>
                <w:sz w:val="18"/>
                <w:szCs w:val="18"/>
              </w:rPr>
              <w:t>人工智能发展趋势，AI、5G、IoT、云计算、大数据介绍，大数据应用介绍及其商业应用及技术分析，人工智能概念及其历史/伦理问题，各经济体大数据、人工智能政策目标，国务院人工智能三步走规划，国内外各大企业在大数据和AI的战略部署，大数据实践应用，智慧交通、医疗、农业、制造，华为解决方案，大数据解决方案介绍及AI战略部署、生态体系。</w:t>
            </w:r>
          </w:p>
          <w:p>
            <w:pPr>
              <w:widowControl/>
              <w:rPr>
                <w:rFonts w:eastAsia="仿宋"/>
                <w:b/>
                <w:sz w:val="18"/>
                <w:szCs w:val="18"/>
              </w:rPr>
            </w:pPr>
            <w:r>
              <w:rPr>
                <w:rFonts w:eastAsia="仿宋"/>
                <w:b/>
                <w:sz w:val="18"/>
                <w:szCs w:val="18"/>
              </w:rPr>
              <w:t>具体服务标准为：</w:t>
            </w:r>
          </w:p>
          <w:p>
            <w:pPr>
              <w:widowControl/>
              <w:rPr>
                <w:rFonts w:eastAsia="仿宋"/>
                <w:sz w:val="18"/>
                <w:szCs w:val="18"/>
              </w:rPr>
            </w:pPr>
            <w:r>
              <w:rPr>
                <w:rFonts w:eastAsia="仿宋"/>
                <w:sz w:val="18"/>
                <w:szCs w:val="18"/>
              </w:rPr>
              <w:t>1.培训时长1天，15人以内</w:t>
            </w:r>
          </w:p>
          <w:p>
            <w:pPr>
              <w:widowControl/>
              <w:rPr>
                <w:rFonts w:eastAsia="仿宋"/>
                <w:sz w:val="18"/>
                <w:szCs w:val="18"/>
              </w:rPr>
            </w:pPr>
            <w:r>
              <w:rPr>
                <w:rFonts w:eastAsia="仿宋"/>
                <w:sz w:val="18"/>
                <w:szCs w:val="18"/>
              </w:rPr>
              <w:t>2.华为金牌讲师（人工智能资深专家，5年以上丰富的AI相关管理、开发、培训经验）</w:t>
            </w:r>
          </w:p>
          <w:p>
            <w:pPr>
              <w:widowControl/>
              <w:rPr>
                <w:rFonts w:eastAsia="仿宋"/>
                <w:sz w:val="18"/>
                <w:szCs w:val="18"/>
              </w:rPr>
            </w:pPr>
            <w:r>
              <w:rPr>
                <w:rFonts w:eastAsia="仿宋"/>
                <w:sz w:val="18"/>
                <w:szCs w:val="18"/>
              </w:rPr>
              <w:t>3.培训后3个月内本地团队咨询服务</w:t>
            </w:r>
          </w:p>
        </w:tc>
        <w:tc>
          <w:tcPr>
            <w:tcW w:w="793"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eastAsia="仿宋"/>
                <w:sz w:val="18"/>
                <w:szCs w:val="18"/>
              </w:rPr>
            </w:pPr>
            <w:r>
              <w:rPr>
                <w:rFonts w:eastAsia="仿宋"/>
                <w:sz w:val="18"/>
                <w:szCs w:val="18"/>
              </w:rPr>
              <w:t>元/班/次</w:t>
            </w:r>
          </w:p>
        </w:tc>
        <w:tc>
          <w:tcPr>
            <w:tcW w:w="1535"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 xml:space="preserve">¥250,000.00 </w:t>
            </w:r>
          </w:p>
        </w:tc>
      </w:tr>
      <w:tr>
        <w:tblPrEx>
          <w:tblCellMar>
            <w:top w:w="0" w:type="dxa"/>
            <w:left w:w="108" w:type="dxa"/>
            <w:bottom w:w="0" w:type="dxa"/>
            <w:right w:w="108" w:type="dxa"/>
          </w:tblCellMar>
        </w:tblPrEx>
        <w:trPr>
          <w:trHeight w:val="1680" w:hRule="atLeast"/>
        </w:trPr>
        <w:tc>
          <w:tcPr>
            <w:tcW w:w="837" w:type="dxa"/>
            <w:vMerge w:val="continue"/>
            <w:tcBorders>
              <w:top w:val="single" w:color="auto" w:sz="4" w:space="0"/>
              <w:left w:val="single" w:color="auto" w:sz="4" w:space="0"/>
              <w:bottom w:val="nil"/>
              <w:right w:val="single" w:color="auto" w:sz="4" w:space="0"/>
            </w:tcBorders>
            <w:shd w:val="clear" w:color="auto" w:fill="auto"/>
            <w:vAlign w:val="center"/>
          </w:tcPr>
          <w:p>
            <w:pPr>
              <w:rPr>
                <w:sz w:val="20"/>
                <w:szCs w:val="20"/>
              </w:rPr>
            </w:pPr>
          </w:p>
        </w:tc>
        <w:tc>
          <w:tcPr>
            <w:tcW w:w="5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
                <w:sz w:val="18"/>
                <w:szCs w:val="18"/>
              </w:rPr>
            </w:pPr>
            <w:r>
              <w:rPr>
                <w:rFonts w:eastAsia="仿宋"/>
                <w:sz w:val="18"/>
                <w:szCs w:val="18"/>
              </w:rPr>
              <w:t>3</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华为人工智能工程师培训班</w:t>
            </w:r>
          </w:p>
        </w:tc>
        <w:tc>
          <w:tcPr>
            <w:tcW w:w="4904"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定位于培养掌握与人工智能相关的基础知识，并能够基于开源TensorFlow框架或华为云一站式AI开发平台ModelArts进行编程、开发、设计华为云EI解决方案的工程师。</w:t>
            </w:r>
          </w:p>
          <w:p>
            <w:pPr>
              <w:widowControl/>
              <w:rPr>
                <w:rFonts w:eastAsia="仿宋"/>
                <w:sz w:val="18"/>
                <w:szCs w:val="18"/>
              </w:rPr>
            </w:pPr>
            <w:r>
              <w:rPr>
                <w:rFonts w:eastAsia="仿宋"/>
                <w:sz w:val="18"/>
                <w:szCs w:val="18"/>
              </w:rPr>
              <w:t>内容包括：</w:t>
            </w:r>
          </w:p>
          <w:p>
            <w:pPr>
              <w:widowControl/>
              <w:rPr>
                <w:rFonts w:eastAsia="仿宋"/>
                <w:sz w:val="18"/>
                <w:szCs w:val="18"/>
              </w:rPr>
            </w:pPr>
            <w:r>
              <w:rPr>
                <w:rFonts w:eastAsia="仿宋"/>
                <w:sz w:val="18"/>
                <w:szCs w:val="18"/>
              </w:rPr>
              <w:t>AI和华为EI概览、Python编程和实验、数学基础知识和实验、TensorFlow介绍和实验、深度学习预备知识和深度学习概览、图像识别、语音识别、机器翻译的应用实验。</w:t>
            </w:r>
          </w:p>
          <w:p>
            <w:pPr>
              <w:widowControl/>
              <w:rPr>
                <w:rFonts w:eastAsia="仿宋"/>
                <w:b/>
                <w:sz w:val="18"/>
                <w:szCs w:val="18"/>
              </w:rPr>
            </w:pPr>
            <w:r>
              <w:rPr>
                <w:rFonts w:eastAsia="仿宋"/>
                <w:b/>
                <w:sz w:val="18"/>
                <w:szCs w:val="18"/>
              </w:rPr>
              <w:t>具体服务标准为：</w:t>
            </w:r>
          </w:p>
          <w:p>
            <w:pPr>
              <w:widowControl/>
              <w:rPr>
                <w:rFonts w:eastAsia="仿宋"/>
                <w:sz w:val="18"/>
                <w:szCs w:val="18"/>
              </w:rPr>
            </w:pPr>
            <w:r>
              <w:rPr>
                <w:rFonts w:eastAsia="仿宋"/>
                <w:sz w:val="18"/>
                <w:szCs w:val="18"/>
              </w:rPr>
              <w:t>1.培训时长4天，20人以内</w:t>
            </w:r>
          </w:p>
          <w:p>
            <w:pPr>
              <w:widowControl/>
              <w:rPr>
                <w:rFonts w:eastAsia="仿宋"/>
                <w:sz w:val="18"/>
                <w:szCs w:val="18"/>
              </w:rPr>
            </w:pPr>
            <w:r>
              <w:rPr>
                <w:rFonts w:eastAsia="仿宋"/>
                <w:sz w:val="18"/>
                <w:szCs w:val="18"/>
              </w:rPr>
              <w:t>2.华为认证资深培训讲师（人工智能高级技术专家，5年以上丰富的AI相关技术开发与培训经验）</w:t>
            </w:r>
          </w:p>
          <w:p>
            <w:pPr>
              <w:widowControl/>
              <w:rPr>
                <w:rFonts w:eastAsia="仿宋"/>
                <w:sz w:val="18"/>
                <w:szCs w:val="18"/>
              </w:rPr>
            </w:pPr>
            <w:r>
              <w:rPr>
                <w:rFonts w:eastAsia="仿宋"/>
                <w:sz w:val="18"/>
                <w:szCs w:val="18"/>
              </w:rPr>
              <w:t>3.培训后3个月内本地团队咨询服务</w:t>
            </w:r>
          </w:p>
        </w:tc>
        <w:tc>
          <w:tcPr>
            <w:tcW w:w="793"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eastAsia="仿宋"/>
                <w:sz w:val="18"/>
                <w:szCs w:val="18"/>
              </w:rPr>
            </w:pPr>
            <w:r>
              <w:rPr>
                <w:rFonts w:eastAsia="仿宋"/>
                <w:sz w:val="18"/>
                <w:szCs w:val="18"/>
              </w:rPr>
              <w:t>元/班/次</w:t>
            </w:r>
          </w:p>
        </w:tc>
        <w:tc>
          <w:tcPr>
            <w:tcW w:w="1535"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 xml:space="preserve">¥250,000.00 </w:t>
            </w:r>
          </w:p>
        </w:tc>
      </w:tr>
      <w:tr>
        <w:tblPrEx>
          <w:tblCellMar>
            <w:top w:w="0" w:type="dxa"/>
            <w:left w:w="108" w:type="dxa"/>
            <w:bottom w:w="0" w:type="dxa"/>
            <w:right w:w="108" w:type="dxa"/>
          </w:tblCellMar>
        </w:tblPrEx>
        <w:trPr>
          <w:trHeight w:val="1680" w:hRule="atLeast"/>
        </w:trPr>
        <w:tc>
          <w:tcPr>
            <w:tcW w:w="837" w:type="dxa"/>
            <w:vMerge w:val="continue"/>
            <w:tcBorders>
              <w:top w:val="single" w:color="auto" w:sz="4" w:space="0"/>
              <w:left w:val="single" w:color="auto" w:sz="4" w:space="0"/>
              <w:bottom w:val="nil"/>
              <w:right w:val="single" w:color="auto" w:sz="4" w:space="0"/>
            </w:tcBorders>
            <w:shd w:val="clear" w:color="auto" w:fill="auto"/>
            <w:vAlign w:val="center"/>
          </w:tcPr>
          <w:p>
            <w:pPr>
              <w:rPr>
                <w:sz w:val="20"/>
                <w:szCs w:val="20"/>
              </w:rPr>
            </w:pPr>
          </w:p>
        </w:tc>
        <w:tc>
          <w:tcPr>
            <w:tcW w:w="5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
                <w:sz w:val="18"/>
                <w:szCs w:val="18"/>
              </w:rPr>
            </w:pPr>
            <w:r>
              <w:rPr>
                <w:rFonts w:eastAsia="仿宋"/>
                <w:sz w:val="18"/>
                <w:szCs w:val="18"/>
              </w:rPr>
              <w:t>4</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AI高校学科师资培训班</w:t>
            </w:r>
          </w:p>
        </w:tc>
        <w:tc>
          <w:tcPr>
            <w:tcW w:w="4904" w:type="dxa"/>
            <w:tcBorders>
              <w:top w:val="single" w:color="auto" w:sz="4" w:space="0"/>
              <w:left w:val="nil"/>
              <w:bottom w:val="single" w:color="auto" w:sz="4" w:space="0"/>
              <w:right w:val="single" w:color="auto" w:sz="4" w:space="0"/>
            </w:tcBorders>
            <w:shd w:val="clear" w:color="auto" w:fill="auto"/>
            <w:vAlign w:val="center"/>
          </w:tcPr>
          <w:p>
            <w:pPr>
              <w:rPr>
                <w:rFonts w:eastAsia="仿宋"/>
                <w:sz w:val="18"/>
                <w:szCs w:val="18"/>
              </w:rPr>
            </w:pPr>
            <w:r>
              <w:rPr>
                <w:rFonts w:eastAsia="仿宋"/>
                <w:sz w:val="18"/>
                <w:szCs w:val="18"/>
              </w:rPr>
              <w:t>任选下列一个方向，提供5天华为高级讲师人工智能学科课程体系的教师培训服务。（杭州培训不高于16人，本地培训不高于40人）</w:t>
            </w:r>
          </w:p>
          <w:p>
            <w:pPr>
              <w:widowControl/>
              <w:numPr>
                <w:ilvl w:val="0"/>
                <w:numId w:val="1"/>
              </w:numPr>
              <w:rPr>
                <w:rFonts w:eastAsia="仿宋"/>
                <w:sz w:val="18"/>
                <w:szCs w:val="18"/>
              </w:rPr>
            </w:pPr>
            <w:r>
              <w:rPr>
                <w:rFonts w:eastAsia="仿宋"/>
                <w:sz w:val="18"/>
                <w:szCs w:val="18"/>
              </w:rPr>
              <w:t>l深度学习基础</w:t>
            </w:r>
          </w:p>
          <w:p>
            <w:pPr>
              <w:widowControl/>
              <w:numPr>
                <w:ilvl w:val="0"/>
                <w:numId w:val="1"/>
              </w:numPr>
              <w:rPr>
                <w:rFonts w:eastAsia="仿宋"/>
                <w:sz w:val="18"/>
                <w:szCs w:val="18"/>
              </w:rPr>
            </w:pPr>
            <w:r>
              <w:rPr>
                <w:rFonts w:eastAsia="仿宋"/>
                <w:sz w:val="18"/>
                <w:szCs w:val="18"/>
              </w:rPr>
              <w:t>l人工智能应用实践</w:t>
            </w:r>
          </w:p>
          <w:p>
            <w:pPr>
              <w:widowControl/>
              <w:numPr>
                <w:ilvl w:val="0"/>
                <w:numId w:val="1"/>
              </w:numPr>
              <w:autoSpaceDE w:val="0"/>
              <w:autoSpaceDN w:val="0"/>
              <w:adjustRightInd w:val="0"/>
              <w:spacing w:line="360" w:lineRule="auto"/>
              <w:jc w:val="left"/>
              <w:rPr>
                <w:rFonts w:eastAsia="仿宋"/>
                <w:kern w:val="0"/>
                <w:sz w:val="18"/>
                <w:szCs w:val="18"/>
              </w:rPr>
            </w:pPr>
            <w:r>
              <w:rPr>
                <w:rFonts w:eastAsia="仿宋"/>
                <w:kern w:val="0"/>
                <w:sz w:val="18"/>
                <w:szCs w:val="18"/>
              </w:rPr>
              <w:t>l大数据基础与应用</w:t>
            </w:r>
          </w:p>
        </w:tc>
        <w:tc>
          <w:tcPr>
            <w:tcW w:w="793"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eastAsia="仿宋"/>
                <w:sz w:val="18"/>
                <w:szCs w:val="18"/>
              </w:rPr>
            </w:pPr>
            <w:r>
              <w:rPr>
                <w:rFonts w:eastAsia="仿宋"/>
                <w:sz w:val="18"/>
                <w:szCs w:val="18"/>
              </w:rPr>
              <w:t>元/班/次</w:t>
            </w:r>
          </w:p>
        </w:tc>
        <w:tc>
          <w:tcPr>
            <w:tcW w:w="1535"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¥256,180.00</w:t>
            </w:r>
          </w:p>
        </w:tc>
      </w:tr>
      <w:tr>
        <w:tblPrEx>
          <w:tblCellMar>
            <w:top w:w="0" w:type="dxa"/>
            <w:left w:w="108" w:type="dxa"/>
            <w:bottom w:w="0" w:type="dxa"/>
            <w:right w:w="108" w:type="dxa"/>
          </w:tblCellMar>
        </w:tblPrEx>
        <w:trPr>
          <w:trHeight w:val="1680" w:hRule="atLeast"/>
        </w:trPr>
        <w:tc>
          <w:tcPr>
            <w:tcW w:w="837" w:type="dxa"/>
            <w:vMerge w:val="continue"/>
            <w:tcBorders>
              <w:top w:val="single" w:color="auto" w:sz="4" w:space="0"/>
              <w:left w:val="single" w:color="auto" w:sz="4" w:space="0"/>
              <w:bottom w:val="nil"/>
              <w:right w:val="single" w:color="auto" w:sz="4" w:space="0"/>
            </w:tcBorders>
            <w:shd w:val="clear" w:color="auto" w:fill="auto"/>
            <w:vAlign w:val="center"/>
          </w:tcPr>
          <w:p>
            <w:pPr>
              <w:rPr>
                <w:sz w:val="20"/>
                <w:szCs w:val="20"/>
              </w:rPr>
            </w:pPr>
          </w:p>
        </w:tc>
        <w:tc>
          <w:tcPr>
            <w:tcW w:w="5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
                <w:sz w:val="18"/>
                <w:szCs w:val="18"/>
              </w:rPr>
            </w:pPr>
            <w:r>
              <w:rPr>
                <w:rFonts w:eastAsia="仿宋"/>
                <w:sz w:val="18"/>
                <w:szCs w:val="18"/>
              </w:rPr>
              <w:t>5</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华为云大数据高级工程师培训班</w:t>
            </w:r>
          </w:p>
        </w:tc>
        <w:tc>
          <w:tcPr>
            <w:tcW w:w="4904"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面向系统性理解大数据架构、技术原理，熟练掌握华为云大数据平台MRS服务方案的工程师。</w:t>
            </w:r>
          </w:p>
          <w:p>
            <w:pPr>
              <w:widowControl/>
              <w:rPr>
                <w:rFonts w:eastAsia="仿宋"/>
                <w:sz w:val="18"/>
                <w:szCs w:val="18"/>
              </w:rPr>
            </w:pPr>
            <w:r>
              <w:rPr>
                <w:rFonts w:eastAsia="仿宋"/>
                <w:sz w:val="18"/>
                <w:szCs w:val="18"/>
              </w:rPr>
              <w:t>内容包括：深入讲解华为云大数据产品MRS、DLI、CSS等产品知识与特性，如何使用华为云大数据的开发总指导、大数据场景化解决方案离线批处理、实时检索、实时流处理、批流合一计算平台等。</w:t>
            </w:r>
          </w:p>
          <w:p>
            <w:pPr>
              <w:widowControl/>
              <w:rPr>
                <w:rFonts w:eastAsia="仿宋"/>
                <w:b/>
                <w:sz w:val="18"/>
                <w:szCs w:val="18"/>
              </w:rPr>
            </w:pPr>
            <w:r>
              <w:rPr>
                <w:rFonts w:eastAsia="仿宋"/>
                <w:b/>
                <w:sz w:val="18"/>
                <w:szCs w:val="18"/>
              </w:rPr>
              <w:t>具体服务标准为：</w:t>
            </w:r>
          </w:p>
          <w:p>
            <w:pPr>
              <w:widowControl/>
              <w:rPr>
                <w:rFonts w:eastAsia="仿宋"/>
                <w:sz w:val="18"/>
                <w:szCs w:val="18"/>
              </w:rPr>
            </w:pPr>
            <w:r>
              <w:rPr>
                <w:rFonts w:eastAsia="仿宋"/>
                <w:sz w:val="18"/>
                <w:szCs w:val="18"/>
              </w:rPr>
              <w:t>1.培训时长5天，20人以内</w:t>
            </w:r>
          </w:p>
          <w:p>
            <w:pPr>
              <w:widowControl/>
              <w:rPr>
                <w:rFonts w:eastAsia="仿宋"/>
                <w:sz w:val="18"/>
                <w:szCs w:val="18"/>
              </w:rPr>
            </w:pPr>
            <w:r>
              <w:rPr>
                <w:rFonts w:eastAsia="仿宋"/>
                <w:sz w:val="18"/>
                <w:szCs w:val="18"/>
              </w:rPr>
              <w:t>2.华为认证资深培训讲师（大数据高级技术专家，5年以上丰富的大数据相关技术开发与培训经验）</w:t>
            </w:r>
          </w:p>
          <w:p>
            <w:pPr>
              <w:widowControl/>
              <w:rPr>
                <w:rFonts w:eastAsia="仿宋"/>
                <w:sz w:val="18"/>
                <w:szCs w:val="18"/>
              </w:rPr>
            </w:pPr>
            <w:r>
              <w:rPr>
                <w:rFonts w:eastAsia="仿宋"/>
                <w:sz w:val="18"/>
                <w:szCs w:val="18"/>
              </w:rPr>
              <w:t>3.培训后3个月内本地团队咨询服务</w:t>
            </w:r>
          </w:p>
        </w:tc>
        <w:tc>
          <w:tcPr>
            <w:tcW w:w="793"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eastAsia="仿宋"/>
                <w:sz w:val="18"/>
                <w:szCs w:val="18"/>
              </w:rPr>
            </w:pPr>
            <w:r>
              <w:rPr>
                <w:rFonts w:eastAsia="仿宋"/>
                <w:sz w:val="18"/>
                <w:szCs w:val="18"/>
              </w:rPr>
              <w:t>元/班/次</w:t>
            </w:r>
          </w:p>
        </w:tc>
        <w:tc>
          <w:tcPr>
            <w:tcW w:w="1535"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¥256,180.00</w:t>
            </w:r>
          </w:p>
        </w:tc>
      </w:tr>
      <w:tr>
        <w:tblPrEx>
          <w:tblCellMar>
            <w:top w:w="0" w:type="dxa"/>
            <w:left w:w="108" w:type="dxa"/>
            <w:bottom w:w="0" w:type="dxa"/>
            <w:right w:w="108" w:type="dxa"/>
          </w:tblCellMar>
        </w:tblPrEx>
        <w:trPr>
          <w:trHeight w:val="1680" w:hRule="atLeast"/>
        </w:trPr>
        <w:tc>
          <w:tcPr>
            <w:tcW w:w="837" w:type="dxa"/>
            <w:vMerge w:val="continue"/>
            <w:tcBorders>
              <w:top w:val="single" w:color="auto" w:sz="4" w:space="0"/>
              <w:left w:val="single" w:color="auto" w:sz="4" w:space="0"/>
              <w:bottom w:val="nil"/>
              <w:right w:val="single" w:color="auto" w:sz="4" w:space="0"/>
            </w:tcBorders>
            <w:shd w:val="clear" w:color="auto" w:fill="auto"/>
            <w:vAlign w:val="center"/>
          </w:tcPr>
          <w:p>
            <w:pPr>
              <w:rPr>
                <w:sz w:val="20"/>
                <w:szCs w:val="20"/>
              </w:rPr>
            </w:pPr>
          </w:p>
        </w:tc>
        <w:tc>
          <w:tcPr>
            <w:tcW w:w="5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
                <w:sz w:val="18"/>
                <w:szCs w:val="18"/>
              </w:rPr>
            </w:pPr>
            <w:r>
              <w:rPr>
                <w:rFonts w:eastAsia="仿宋"/>
                <w:sz w:val="18"/>
                <w:szCs w:val="18"/>
              </w:rPr>
              <w:t>6</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华为云数据仓库高级工程师培训班</w:t>
            </w:r>
          </w:p>
        </w:tc>
        <w:tc>
          <w:tcPr>
            <w:tcW w:w="4904"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定位于数据库工程师、架构师、DBA、信息技术主管等掌握分布式数据库知识技能里，理解华为GaussDB数据仓库的原理和应用实践。</w:t>
            </w:r>
          </w:p>
          <w:p>
            <w:pPr>
              <w:widowControl/>
              <w:rPr>
                <w:rFonts w:eastAsia="仿宋"/>
                <w:sz w:val="18"/>
                <w:szCs w:val="18"/>
              </w:rPr>
            </w:pPr>
            <w:r>
              <w:rPr>
                <w:rFonts w:eastAsia="仿宋"/>
                <w:sz w:val="18"/>
                <w:szCs w:val="18"/>
              </w:rPr>
              <w:t>内容包括：GaussDB(DWS)产品架构、部署模式、关键特性及技术指标、掌握SQL高级语法、分布式执行框架、数据库设计与管理、数据库安全管理、数据库集群管理、数据库迁移知识及数据库的高级特性</w:t>
            </w:r>
          </w:p>
          <w:p>
            <w:pPr>
              <w:widowControl/>
              <w:rPr>
                <w:rFonts w:eastAsia="仿宋"/>
                <w:b/>
                <w:sz w:val="18"/>
                <w:szCs w:val="18"/>
              </w:rPr>
            </w:pPr>
            <w:r>
              <w:rPr>
                <w:rFonts w:eastAsia="仿宋"/>
                <w:b/>
                <w:sz w:val="18"/>
                <w:szCs w:val="18"/>
              </w:rPr>
              <w:t>具体服务标准为：</w:t>
            </w:r>
          </w:p>
          <w:p>
            <w:pPr>
              <w:widowControl/>
              <w:rPr>
                <w:rFonts w:eastAsia="仿宋"/>
                <w:sz w:val="18"/>
                <w:szCs w:val="18"/>
              </w:rPr>
            </w:pPr>
            <w:r>
              <w:rPr>
                <w:rFonts w:eastAsia="仿宋"/>
                <w:sz w:val="18"/>
                <w:szCs w:val="18"/>
              </w:rPr>
              <w:t>1.培训时长5天，20人以内</w:t>
            </w:r>
          </w:p>
          <w:p>
            <w:pPr>
              <w:widowControl/>
              <w:rPr>
                <w:rFonts w:eastAsia="仿宋"/>
                <w:sz w:val="18"/>
                <w:szCs w:val="18"/>
              </w:rPr>
            </w:pPr>
            <w:r>
              <w:rPr>
                <w:rFonts w:eastAsia="仿宋"/>
                <w:sz w:val="18"/>
                <w:szCs w:val="18"/>
              </w:rPr>
              <w:t>2.华为认证资深培训讲师（GaussDB高级技术专家，5年以上丰富的数据库相关技术开发与培训经验）</w:t>
            </w:r>
          </w:p>
          <w:p>
            <w:pPr>
              <w:widowControl/>
              <w:rPr>
                <w:rFonts w:eastAsia="仿宋"/>
                <w:sz w:val="18"/>
                <w:szCs w:val="18"/>
              </w:rPr>
            </w:pPr>
            <w:r>
              <w:rPr>
                <w:rFonts w:eastAsia="仿宋"/>
                <w:sz w:val="18"/>
                <w:szCs w:val="18"/>
              </w:rPr>
              <w:t>3.培训后3个月内本地团队咨询服务</w:t>
            </w:r>
          </w:p>
        </w:tc>
        <w:tc>
          <w:tcPr>
            <w:tcW w:w="793"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eastAsia="仿宋"/>
                <w:sz w:val="18"/>
                <w:szCs w:val="18"/>
              </w:rPr>
            </w:pPr>
            <w:r>
              <w:rPr>
                <w:rFonts w:eastAsia="仿宋"/>
                <w:sz w:val="18"/>
                <w:szCs w:val="18"/>
              </w:rPr>
              <w:t>元/班/次</w:t>
            </w:r>
          </w:p>
        </w:tc>
        <w:tc>
          <w:tcPr>
            <w:tcW w:w="1535"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¥256,180.00</w:t>
            </w:r>
          </w:p>
        </w:tc>
      </w:tr>
      <w:tr>
        <w:tblPrEx>
          <w:tblCellMar>
            <w:top w:w="0" w:type="dxa"/>
            <w:left w:w="108" w:type="dxa"/>
            <w:bottom w:w="0" w:type="dxa"/>
            <w:right w:w="108" w:type="dxa"/>
          </w:tblCellMar>
        </w:tblPrEx>
        <w:trPr>
          <w:trHeight w:val="1920" w:hRule="atLeast"/>
        </w:trPr>
        <w:tc>
          <w:tcPr>
            <w:tcW w:w="837" w:type="dxa"/>
            <w:vMerge w:val="continue"/>
            <w:tcBorders>
              <w:top w:val="single" w:color="auto" w:sz="4" w:space="0"/>
              <w:left w:val="single" w:color="auto" w:sz="4" w:space="0"/>
              <w:bottom w:val="nil"/>
              <w:right w:val="single" w:color="auto" w:sz="4" w:space="0"/>
            </w:tcBorders>
            <w:shd w:val="clear" w:color="auto" w:fill="auto"/>
            <w:vAlign w:val="center"/>
          </w:tcPr>
          <w:p>
            <w:pPr>
              <w:rPr>
                <w:sz w:val="20"/>
                <w:szCs w:val="20"/>
              </w:rPr>
            </w:pPr>
          </w:p>
        </w:tc>
        <w:tc>
          <w:tcPr>
            <w:tcW w:w="5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
                <w:sz w:val="18"/>
                <w:szCs w:val="18"/>
              </w:rPr>
            </w:pPr>
            <w:r>
              <w:rPr>
                <w:rFonts w:eastAsia="仿宋"/>
                <w:sz w:val="18"/>
                <w:szCs w:val="18"/>
              </w:rPr>
              <w:t>7</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华为企业人工智能开发者培训班</w:t>
            </w:r>
          </w:p>
        </w:tc>
        <w:tc>
          <w:tcPr>
            <w:tcW w:w="4904" w:type="dxa"/>
            <w:tcBorders>
              <w:top w:val="nil"/>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定位于培养具有图像处理、语音处理、自然语言处理等基础理论知识，能够应用华为云EI等华为企业AI解决方案、通用开源框架、面向AI开发者的一站式开发平台ModelArts进行开发和创新的专业人才。</w:t>
            </w:r>
          </w:p>
          <w:p>
            <w:pPr>
              <w:widowControl/>
              <w:rPr>
                <w:rFonts w:eastAsia="仿宋"/>
                <w:sz w:val="18"/>
                <w:szCs w:val="18"/>
              </w:rPr>
            </w:pPr>
            <w:r>
              <w:rPr>
                <w:rFonts w:eastAsia="仿宋"/>
                <w:sz w:val="18"/>
                <w:szCs w:val="18"/>
              </w:rPr>
              <w:t>内容包括：神经网络基础、图像处理理论和应用、语音处理理论和应用、自然语言处理理论和应用、ModelArts概览、图像处理实验、语音处理实验、自然语言处理实验、ModelArts平台开发实验。ModelArts是面向AI开发者的一站式开发平台，提供海量数据预处理及半自动化标注、大规模分布式训练、自动化模型生成，及端-边-云模型按需部署能力，帮助用户快速创建和部署模型，管理全周期AI工作流。</w:t>
            </w:r>
          </w:p>
          <w:p>
            <w:pPr>
              <w:widowControl/>
              <w:rPr>
                <w:rFonts w:eastAsia="仿宋"/>
                <w:b/>
                <w:sz w:val="18"/>
                <w:szCs w:val="18"/>
              </w:rPr>
            </w:pPr>
            <w:r>
              <w:rPr>
                <w:rFonts w:eastAsia="仿宋"/>
                <w:b/>
                <w:sz w:val="18"/>
                <w:szCs w:val="18"/>
              </w:rPr>
              <w:t>具体服务标准为：</w:t>
            </w:r>
          </w:p>
          <w:p>
            <w:pPr>
              <w:widowControl/>
              <w:rPr>
                <w:rFonts w:eastAsia="仿宋"/>
                <w:sz w:val="18"/>
                <w:szCs w:val="18"/>
              </w:rPr>
            </w:pPr>
            <w:r>
              <w:rPr>
                <w:rFonts w:eastAsia="仿宋"/>
                <w:sz w:val="18"/>
                <w:szCs w:val="18"/>
              </w:rPr>
              <w:t>1.培训时长4天，20人以内</w:t>
            </w:r>
          </w:p>
          <w:p>
            <w:pPr>
              <w:widowControl/>
              <w:rPr>
                <w:rFonts w:eastAsia="仿宋"/>
                <w:sz w:val="18"/>
                <w:szCs w:val="18"/>
              </w:rPr>
            </w:pPr>
            <w:r>
              <w:rPr>
                <w:rFonts w:eastAsia="仿宋"/>
                <w:sz w:val="18"/>
                <w:szCs w:val="18"/>
              </w:rPr>
              <w:t>2.华为认证资深培训讲师（华为人工智能高级技术专家，5年以上丰富的AI相关技术开发与培训经验）</w:t>
            </w:r>
          </w:p>
          <w:p>
            <w:pPr>
              <w:widowControl/>
              <w:rPr>
                <w:rFonts w:eastAsia="仿宋"/>
                <w:sz w:val="18"/>
                <w:szCs w:val="18"/>
              </w:rPr>
            </w:pPr>
            <w:r>
              <w:rPr>
                <w:rFonts w:eastAsia="仿宋"/>
                <w:sz w:val="18"/>
                <w:szCs w:val="18"/>
              </w:rPr>
              <w:t>3.培训后3个月内本地团队咨询服务</w:t>
            </w:r>
          </w:p>
        </w:tc>
        <w:tc>
          <w:tcPr>
            <w:tcW w:w="793" w:type="dxa"/>
            <w:tcBorders>
              <w:top w:val="nil"/>
              <w:left w:val="nil"/>
              <w:bottom w:val="single" w:color="auto" w:sz="4" w:space="0"/>
              <w:right w:val="single" w:color="auto" w:sz="4" w:space="0"/>
            </w:tcBorders>
            <w:shd w:val="clear" w:color="auto" w:fill="auto"/>
            <w:vAlign w:val="center"/>
          </w:tcPr>
          <w:p>
            <w:pPr>
              <w:widowControl/>
              <w:jc w:val="right"/>
              <w:rPr>
                <w:rFonts w:eastAsia="仿宋"/>
                <w:sz w:val="18"/>
                <w:szCs w:val="18"/>
              </w:rPr>
            </w:pPr>
            <w:r>
              <w:rPr>
                <w:rFonts w:eastAsia="仿宋"/>
                <w:sz w:val="18"/>
                <w:szCs w:val="18"/>
              </w:rPr>
              <w:t>元/班/次</w:t>
            </w:r>
          </w:p>
        </w:tc>
        <w:tc>
          <w:tcPr>
            <w:tcW w:w="1535" w:type="dxa"/>
            <w:tcBorders>
              <w:top w:val="nil"/>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 xml:space="preserve">¥300,000.00 </w:t>
            </w:r>
          </w:p>
        </w:tc>
      </w:tr>
      <w:tr>
        <w:tblPrEx>
          <w:tblCellMar>
            <w:top w:w="0" w:type="dxa"/>
            <w:left w:w="108" w:type="dxa"/>
            <w:bottom w:w="0" w:type="dxa"/>
            <w:right w:w="108" w:type="dxa"/>
          </w:tblCellMar>
        </w:tblPrEx>
        <w:trPr>
          <w:trHeight w:val="1920" w:hRule="atLeast"/>
        </w:trPr>
        <w:tc>
          <w:tcPr>
            <w:tcW w:w="837" w:type="dxa"/>
            <w:vMerge w:val="continue"/>
            <w:tcBorders>
              <w:top w:val="single" w:color="auto" w:sz="4" w:space="0"/>
              <w:left w:val="single" w:color="auto" w:sz="4" w:space="0"/>
              <w:bottom w:val="nil"/>
              <w:right w:val="single" w:color="auto" w:sz="4" w:space="0"/>
            </w:tcBorders>
            <w:shd w:val="clear" w:color="auto" w:fill="auto"/>
            <w:vAlign w:val="center"/>
          </w:tcPr>
          <w:p>
            <w:pPr>
              <w:rPr>
                <w:sz w:val="20"/>
                <w:szCs w:val="20"/>
              </w:rPr>
            </w:pPr>
          </w:p>
        </w:tc>
        <w:tc>
          <w:tcPr>
            <w:tcW w:w="5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
                <w:sz w:val="18"/>
                <w:szCs w:val="18"/>
              </w:rPr>
            </w:pPr>
            <w:r>
              <w:rPr>
                <w:rFonts w:eastAsia="仿宋"/>
                <w:sz w:val="18"/>
                <w:szCs w:val="18"/>
              </w:rPr>
              <w:t>8</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人工智能专家培训班</w:t>
            </w:r>
          </w:p>
        </w:tc>
        <w:tc>
          <w:tcPr>
            <w:tcW w:w="4904" w:type="dxa"/>
            <w:tcBorders>
              <w:top w:val="nil"/>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定位于培养熟练掌握机器学习、深度学习理论知识，具备在业务领域中融入人工智能技术的专家.</w:t>
            </w:r>
          </w:p>
          <w:p>
            <w:pPr>
              <w:widowControl/>
              <w:rPr>
                <w:rFonts w:eastAsia="仿宋"/>
                <w:sz w:val="18"/>
                <w:szCs w:val="18"/>
              </w:rPr>
            </w:pPr>
            <w:r>
              <w:rPr>
                <w:rFonts w:eastAsia="仿宋"/>
                <w:sz w:val="18"/>
                <w:szCs w:val="18"/>
              </w:rPr>
              <w:t>内容包括：</w:t>
            </w:r>
          </w:p>
          <w:p>
            <w:pPr>
              <w:widowControl/>
              <w:rPr>
                <w:rFonts w:eastAsia="仿宋"/>
                <w:sz w:val="18"/>
                <w:szCs w:val="18"/>
              </w:rPr>
            </w:pPr>
            <w:r>
              <w:rPr>
                <w:rFonts w:eastAsia="仿宋"/>
                <w:sz w:val="18"/>
                <w:szCs w:val="18"/>
              </w:rPr>
              <w:t>人工智能、大数据基础知识，大数据思维，掌握机器学习、深度学习开发流程，通过案例探讨环节，引导参培学员进行业务分析，掌握使用大数据/AI技术分析、解决问题的能力</w:t>
            </w:r>
          </w:p>
          <w:p>
            <w:pPr>
              <w:widowControl/>
              <w:rPr>
                <w:rFonts w:eastAsia="仿宋"/>
                <w:b/>
                <w:sz w:val="18"/>
                <w:szCs w:val="18"/>
              </w:rPr>
            </w:pPr>
            <w:r>
              <w:rPr>
                <w:rFonts w:eastAsia="仿宋"/>
                <w:b/>
                <w:sz w:val="18"/>
                <w:szCs w:val="18"/>
              </w:rPr>
              <w:t>具体服务标准为：</w:t>
            </w:r>
          </w:p>
          <w:p>
            <w:pPr>
              <w:widowControl/>
              <w:rPr>
                <w:rFonts w:eastAsia="仿宋"/>
                <w:sz w:val="18"/>
                <w:szCs w:val="18"/>
              </w:rPr>
            </w:pPr>
            <w:r>
              <w:rPr>
                <w:rFonts w:eastAsia="仿宋"/>
                <w:sz w:val="18"/>
                <w:szCs w:val="18"/>
              </w:rPr>
              <w:t>1.培训时长3天，20人以内</w:t>
            </w:r>
          </w:p>
          <w:p>
            <w:pPr>
              <w:widowControl/>
              <w:rPr>
                <w:rFonts w:eastAsia="仿宋"/>
                <w:sz w:val="18"/>
                <w:szCs w:val="18"/>
              </w:rPr>
            </w:pPr>
            <w:r>
              <w:rPr>
                <w:rFonts w:eastAsia="仿宋"/>
                <w:sz w:val="18"/>
                <w:szCs w:val="18"/>
              </w:rPr>
              <w:t>2.华为金牌讲师（人工智能高级技术专家，5年以上丰富的AI相关技术开发与培训经验）</w:t>
            </w:r>
          </w:p>
          <w:p>
            <w:pPr>
              <w:widowControl/>
              <w:rPr>
                <w:rFonts w:eastAsia="仿宋"/>
                <w:sz w:val="18"/>
                <w:szCs w:val="18"/>
              </w:rPr>
            </w:pPr>
            <w:r>
              <w:rPr>
                <w:rFonts w:eastAsia="仿宋"/>
                <w:sz w:val="18"/>
                <w:szCs w:val="18"/>
              </w:rPr>
              <w:t>3.培训后3个月内本地团队咨询服务</w:t>
            </w:r>
          </w:p>
        </w:tc>
        <w:tc>
          <w:tcPr>
            <w:tcW w:w="793" w:type="dxa"/>
            <w:tcBorders>
              <w:top w:val="nil"/>
              <w:left w:val="nil"/>
              <w:bottom w:val="single" w:color="auto" w:sz="4" w:space="0"/>
              <w:right w:val="single" w:color="auto" w:sz="4" w:space="0"/>
            </w:tcBorders>
            <w:shd w:val="clear" w:color="auto" w:fill="auto"/>
            <w:vAlign w:val="center"/>
          </w:tcPr>
          <w:p>
            <w:pPr>
              <w:widowControl/>
              <w:jc w:val="right"/>
              <w:rPr>
                <w:rFonts w:eastAsia="仿宋"/>
                <w:sz w:val="18"/>
                <w:szCs w:val="18"/>
              </w:rPr>
            </w:pPr>
            <w:r>
              <w:rPr>
                <w:rFonts w:eastAsia="仿宋"/>
                <w:sz w:val="18"/>
                <w:szCs w:val="18"/>
              </w:rPr>
              <w:t>元/班/次</w:t>
            </w:r>
          </w:p>
        </w:tc>
        <w:tc>
          <w:tcPr>
            <w:tcW w:w="1535" w:type="dxa"/>
            <w:tcBorders>
              <w:top w:val="nil"/>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 xml:space="preserve">¥350,000.00 </w:t>
            </w:r>
          </w:p>
        </w:tc>
      </w:tr>
      <w:tr>
        <w:tblPrEx>
          <w:tblCellMar>
            <w:top w:w="0" w:type="dxa"/>
            <w:left w:w="108" w:type="dxa"/>
            <w:bottom w:w="0" w:type="dxa"/>
            <w:right w:w="108" w:type="dxa"/>
          </w:tblCellMar>
        </w:tblPrEx>
        <w:trPr>
          <w:trHeight w:val="2699" w:hRule="atLeast"/>
        </w:trPr>
        <w:tc>
          <w:tcPr>
            <w:tcW w:w="837" w:type="dxa"/>
            <w:vMerge w:val="continue"/>
            <w:tcBorders>
              <w:top w:val="single" w:color="auto" w:sz="4" w:space="0"/>
              <w:left w:val="single" w:color="auto" w:sz="4" w:space="0"/>
              <w:bottom w:val="nil"/>
              <w:right w:val="single" w:color="auto" w:sz="4" w:space="0"/>
            </w:tcBorders>
            <w:shd w:val="clear" w:color="auto" w:fill="auto"/>
            <w:vAlign w:val="center"/>
          </w:tcPr>
          <w:p>
            <w:pPr>
              <w:rPr>
                <w:sz w:val="20"/>
                <w:szCs w:val="20"/>
              </w:rPr>
            </w:pPr>
          </w:p>
        </w:tc>
        <w:tc>
          <w:tcPr>
            <w:tcW w:w="5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
                <w:sz w:val="18"/>
                <w:szCs w:val="18"/>
              </w:rPr>
            </w:pPr>
            <w:r>
              <w:rPr>
                <w:rFonts w:eastAsia="仿宋"/>
                <w:sz w:val="18"/>
                <w:szCs w:val="18"/>
              </w:rPr>
              <w:t>9</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HiLens专家培训班</w:t>
            </w:r>
          </w:p>
        </w:tc>
        <w:tc>
          <w:tcPr>
            <w:tcW w:w="4904"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定位于培养掌握HiLens最前沿知识技能，具备使用HiLens产品进行研发及商业落地的高级算法工程师和架构师。</w:t>
            </w:r>
          </w:p>
          <w:p>
            <w:pPr>
              <w:widowControl/>
              <w:rPr>
                <w:rFonts w:eastAsia="仿宋"/>
                <w:sz w:val="18"/>
                <w:szCs w:val="18"/>
              </w:rPr>
            </w:pPr>
            <w:r>
              <w:rPr>
                <w:rFonts w:eastAsia="仿宋"/>
                <w:sz w:val="18"/>
                <w:szCs w:val="18"/>
              </w:rPr>
              <w:t>内容包括：华为云HiLens服务及能力介绍，掌握HiLens开发流程中各个重要环节，包括模型训练，模型转换，模型推理部署，商业落地</w:t>
            </w:r>
          </w:p>
          <w:p>
            <w:pPr>
              <w:widowControl/>
              <w:rPr>
                <w:rFonts w:eastAsia="仿宋"/>
                <w:b/>
                <w:sz w:val="18"/>
                <w:szCs w:val="18"/>
              </w:rPr>
            </w:pPr>
            <w:r>
              <w:rPr>
                <w:rFonts w:eastAsia="仿宋"/>
                <w:b/>
                <w:sz w:val="18"/>
                <w:szCs w:val="18"/>
              </w:rPr>
              <w:t>具体服务标准为：</w:t>
            </w:r>
          </w:p>
          <w:p>
            <w:pPr>
              <w:widowControl/>
              <w:rPr>
                <w:rFonts w:eastAsia="仿宋"/>
                <w:sz w:val="18"/>
                <w:szCs w:val="18"/>
              </w:rPr>
            </w:pPr>
            <w:r>
              <w:rPr>
                <w:rFonts w:eastAsia="仿宋"/>
                <w:sz w:val="18"/>
                <w:szCs w:val="18"/>
              </w:rPr>
              <w:t>1.培训时长3天，20人以内</w:t>
            </w:r>
          </w:p>
          <w:p>
            <w:pPr>
              <w:widowControl/>
              <w:rPr>
                <w:rFonts w:eastAsia="仿宋"/>
                <w:sz w:val="18"/>
                <w:szCs w:val="18"/>
              </w:rPr>
            </w:pPr>
            <w:r>
              <w:rPr>
                <w:rFonts w:eastAsia="仿宋"/>
                <w:sz w:val="18"/>
                <w:szCs w:val="18"/>
              </w:rPr>
              <w:t>2.华为金牌讲师（人工智能高级技术专家，5年以上丰富的AI相关技术开发与培训经验）</w:t>
            </w:r>
          </w:p>
          <w:p>
            <w:pPr>
              <w:widowControl/>
              <w:rPr>
                <w:rFonts w:eastAsia="仿宋"/>
                <w:sz w:val="18"/>
                <w:szCs w:val="18"/>
              </w:rPr>
            </w:pPr>
            <w:r>
              <w:rPr>
                <w:rFonts w:eastAsia="仿宋"/>
                <w:sz w:val="18"/>
                <w:szCs w:val="18"/>
              </w:rPr>
              <w:t>3.培训后3个月内本地团队咨询服务</w:t>
            </w:r>
          </w:p>
        </w:tc>
        <w:tc>
          <w:tcPr>
            <w:tcW w:w="793"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eastAsia="仿宋"/>
                <w:sz w:val="18"/>
                <w:szCs w:val="18"/>
              </w:rPr>
            </w:pPr>
            <w:r>
              <w:rPr>
                <w:rFonts w:eastAsia="仿宋"/>
                <w:sz w:val="18"/>
                <w:szCs w:val="18"/>
              </w:rPr>
              <w:t>元/班/次</w:t>
            </w:r>
          </w:p>
        </w:tc>
        <w:tc>
          <w:tcPr>
            <w:tcW w:w="1535"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¥350,000.00</w:t>
            </w:r>
          </w:p>
        </w:tc>
      </w:tr>
    </w:tbl>
    <w:p>
      <w:pPr>
        <w:rPr>
          <w:szCs w:val="21"/>
        </w:rPr>
      </w:pPr>
    </w:p>
    <w:tbl>
      <w:tblPr>
        <w:tblStyle w:val="4"/>
        <w:tblW w:w="9273" w:type="dxa"/>
        <w:tblInd w:w="5" w:type="dxa"/>
        <w:tblLayout w:type="fixed"/>
        <w:tblCellMar>
          <w:top w:w="0" w:type="dxa"/>
          <w:left w:w="108" w:type="dxa"/>
          <w:bottom w:w="0" w:type="dxa"/>
          <w:right w:w="108" w:type="dxa"/>
        </w:tblCellMar>
      </w:tblPr>
      <w:tblGrid>
        <w:gridCol w:w="989"/>
        <w:gridCol w:w="556"/>
        <w:gridCol w:w="708"/>
        <w:gridCol w:w="4896"/>
        <w:gridCol w:w="828"/>
        <w:gridCol w:w="1296"/>
      </w:tblGrid>
      <w:tr>
        <w:tblPrEx>
          <w:tblCellMar>
            <w:top w:w="0" w:type="dxa"/>
            <w:left w:w="108" w:type="dxa"/>
            <w:bottom w:w="0" w:type="dxa"/>
            <w:right w:w="108" w:type="dxa"/>
          </w:tblCellMar>
        </w:tblPrEx>
        <w:trPr>
          <w:trHeight w:val="1262" w:hRule="atLeast"/>
        </w:trPr>
        <w:tc>
          <w:tcPr>
            <w:tcW w:w="989"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eastAsia="仿宋"/>
                <w:sz w:val="18"/>
                <w:szCs w:val="18"/>
              </w:rPr>
            </w:pPr>
          </w:p>
        </w:tc>
        <w:tc>
          <w:tcPr>
            <w:tcW w:w="5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
                <w:sz w:val="18"/>
                <w:szCs w:val="18"/>
              </w:rPr>
            </w:pPr>
            <w:r>
              <w:rPr>
                <w:rFonts w:eastAsia="仿宋"/>
                <w:sz w:val="18"/>
                <w:szCs w:val="18"/>
              </w:rPr>
              <w:t>10</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华为人工智能工程师认证班</w:t>
            </w:r>
          </w:p>
        </w:tc>
        <w:tc>
          <w:tcPr>
            <w:tcW w:w="4896" w:type="dxa"/>
            <w:tcBorders>
              <w:top w:val="single" w:color="auto" w:sz="4" w:space="0"/>
              <w:left w:val="nil"/>
              <w:bottom w:val="single" w:color="auto" w:sz="4" w:space="0"/>
              <w:right w:val="single" w:color="auto" w:sz="4" w:space="0"/>
            </w:tcBorders>
            <w:shd w:val="clear" w:color="auto" w:fill="auto"/>
            <w:vAlign w:val="center"/>
          </w:tcPr>
          <w:p>
            <w:pPr>
              <w:rPr>
                <w:rFonts w:eastAsia="仿宋"/>
                <w:sz w:val="18"/>
                <w:szCs w:val="18"/>
              </w:rPr>
            </w:pPr>
            <w:r>
              <w:rPr>
                <w:rFonts w:eastAsia="仿宋"/>
                <w:sz w:val="18"/>
                <w:szCs w:val="18"/>
              </w:rPr>
              <w:t>HCIA-AI认证定位于人工智能的普及、深度学习的了解、基于开源TensorFlow框架进行编程之基础能力的构建和华为云EI的学习，旨在推动ICT行业人工智能人才的培养。</w:t>
            </w:r>
            <w:r>
              <w:rPr>
                <w:rFonts w:eastAsia="仿宋"/>
                <w:sz w:val="18"/>
                <w:szCs w:val="18"/>
              </w:rPr>
              <w:br w:type="textWrapping"/>
            </w:r>
            <w:r>
              <w:rPr>
                <w:rFonts w:eastAsia="仿宋"/>
                <w:sz w:val="18"/>
                <w:szCs w:val="18"/>
              </w:rPr>
              <w:t>HCIA-AI认证包括但不限于：AI概览、Python编程和实验、数学基础知识和实验、TensorFlow介绍和实验、深度学习预备知识和深度学习概览、华为云EI概览，图像识别、语音识别、人机对话的应用实验。</w:t>
            </w:r>
            <w:r>
              <w:rPr>
                <w:rFonts w:eastAsia="仿宋"/>
                <w:sz w:val="18"/>
                <w:szCs w:val="18"/>
              </w:rPr>
              <w:br w:type="textWrapping"/>
            </w:r>
            <w:r>
              <w:rPr>
                <w:rFonts w:eastAsia="仿宋"/>
                <w:sz w:val="18"/>
                <w:szCs w:val="18"/>
              </w:rPr>
              <w:t>拥有HCIA-AI 认证的工程师，企业掌握了人工智能技术基础原理、架构和编程等知识，具备运用人工智能技术、机器学习技术、深度学习技术和开源 TensorFlow 框架进行机器学习、图像识别、语音识别和人机对话等人工智能产品和人工智能解决方案设计、开发的必备能力。</w:t>
            </w:r>
          </w:p>
          <w:p>
            <w:pPr>
              <w:widowControl/>
              <w:rPr>
                <w:rFonts w:eastAsia="仿宋"/>
                <w:b/>
                <w:sz w:val="18"/>
                <w:szCs w:val="18"/>
              </w:rPr>
            </w:pPr>
            <w:r>
              <w:rPr>
                <w:rFonts w:eastAsia="仿宋"/>
                <w:b/>
                <w:sz w:val="18"/>
                <w:szCs w:val="18"/>
              </w:rPr>
              <w:t>具体服务标准为：</w:t>
            </w:r>
          </w:p>
          <w:p>
            <w:pPr>
              <w:rPr>
                <w:rFonts w:eastAsia="仿宋"/>
                <w:sz w:val="18"/>
                <w:szCs w:val="18"/>
              </w:rPr>
            </w:pPr>
            <w:r>
              <w:rPr>
                <w:rFonts w:eastAsia="仿宋"/>
                <w:sz w:val="18"/>
                <w:szCs w:val="18"/>
              </w:rPr>
              <w:t>1.培训时长5天，25人以内</w:t>
            </w:r>
          </w:p>
          <w:p>
            <w:pPr>
              <w:rPr>
                <w:rFonts w:eastAsia="仿宋"/>
                <w:sz w:val="18"/>
                <w:szCs w:val="18"/>
              </w:rPr>
            </w:pPr>
            <w:r>
              <w:rPr>
                <w:rFonts w:eastAsia="仿宋"/>
                <w:sz w:val="18"/>
                <w:szCs w:val="18"/>
              </w:rPr>
              <w:t>2.资深培训讲师（华为人工智能高级技术专家，5年以上丰富的AI相关技术开发与培训经验）</w:t>
            </w:r>
          </w:p>
          <w:p>
            <w:pPr>
              <w:rPr>
                <w:rFonts w:eastAsia="仿宋"/>
                <w:sz w:val="18"/>
                <w:szCs w:val="18"/>
              </w:rPr>
            </w:pPr>
            <w:r>
              <w:rPr>
                <w:rFonts w:eastAsia="仿宋"/>
                <w:sz w:val="18"/>
                <w:szCs w:val="18"/>
              </w:rPr>
              <w:t>3.通过华为人工智能认证测试（若未通过测试，可免费参加下一期培训，第二次考试费需自付）</w:t>
            </w:r>
          </w:p>
        </w:tc>
        <w:tc>
          <w:tcPr>
            <w:tcW w:w="828" w:type="dxa"/>
            <w:tcBorders>
              <w:top w:val="single" w:color="auto" w:sz="4" w:space="0"/>
              <w:left w:val="nil"/>
              <w:bottom w:val="single" w:color="auto" w:sz="4" w:space="0"/>
              <w:right w:val="single" w:color="auto" w:sz="4" w:space="0"/>
            </w:tcBorders>
            <w:shd w:val="clear" w:color="auto" w:fill="auto"/>
            <w:vAlign w:val="center"/>
          </w:tcPr>
          <w:p>
            <w:pPr>
              <w:widowControl/>
              <w:ind w:right="180"/>
              <w:jc w:val="right"/>
              <w:rPr>
                <w:rFonts w:eastAsia="仿宋"/>
                <w:sz w:val="18"/>
                <w:szCs w:val="18"/>
              </w:rPr>
            </w:pPr>
            <w:r>
              <w:rPr>
                <w:rFonts w:eastAsia="仿宋"/>
                <w:sz w:val="18"/>
                <w:szCs w:val="18"/>
              </w:rPr>
              <w:t>元/班/次</w:t>
            </w:r>
          </w:p>
        </w:tc>
        <w:tc>
          <w:tcPr>
            <w:tcW w:w="1296" w:type="dxa"/>
            <w:tcBorders>
              <w:top w:val="single" w:color="auto" w:sz="4" w:space="0"/>
              <w:left w:val="nil"/>
              <w:bottom w:val="single" w:color="auto" w:sz="4" w:space="0"/>
              <w:right w:val="single" w:color="auto" w:sz="4" w:space="0"/>
            </w:tcBorders>
            <w:shd w:val="clear" w:color="auto" w:fill="auto"/>
            <w:vAlign w:val="center"/>
          </w:tcPr>
          <w:p>
            <w:pPr>
              <w:jc w:val="center"/>
              <w:rPr>
                <w:rFonts w:eastAsia="仿宋"/>
                <w:sz w:val="18"/>
                <w:szCs w:val="18"/>
              </w:rPr>
            </w:pPr>
            <w:r>
              <w:rPr>
                <w:rFonts w:eastAsia="仿宋"/>
                <w:sz w:val="18"/>
                <w:szCs w:val="18"/>
              </w:rPr>
              <w:t xml:space="preserve">750,000 </w:t>
            </w:r>
          </w:p>
        </w:tc>
      </w:tr>
      <w:tr>
        <w:tblPrEx>
          <w:tblCellMar>
            <w:top w:w="0" w:type="dxa"/>
            <w:left w:w="108" w:type="dxa"/>
            <w:bottom w:w="0" w:type="dxa"/>
            <w:right w:w="108" w:type="dxa"/>
          </w:tblCellMar>
        </w:tblPrEx>
        <w:trPr>
          <w:trHeight w:val="1262" w:hRule="atLeast"/>
        </w:trPr>
        <w:tc>
          <w:tcPr>
            <w:tcW w:w="989" w:type="dxa"/>
            <w:vMerge w:val="continue"/>
            <w:tcBorders>
              <w:top w:val="single" w:color="auto" w:sz="4" w:space="0"/>
              <w:left w:val="single" w:color="auto" w:sz="4" w:space="0"/>
              <w:bottom w:val="nil"/>
              <w:right w:val="single" w:color="auto" w:sz="4" w:space="0"/>
            </w:tcBorders>
            <w:shd w:val="clear" w:color="auto" w:fill="auto"/>
            <w:vAlign w:val="center"/>
          </w:tcPr>
          <w:p>
            <w:pPr>
              <w:rPr>
                <w:sz w:val="20"/>
                <w:szCs w:val="20"/>
              </w:rPr>
            </w:pPr>
          </w:p>
        </w:tc>
        <w:tc>
          <w:tcPr>
            <w:tcW w:w="5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
                <w:sz w:val="18"/>
                <w:szCs w:val="18"/>
              </w:rPr>
            </w:pPr>
            <w:r>
              <w:rPr>
                <w:rFonts w:eastAsia="仿宋"/>
                <w:sz w:val="18"/>
                <w:szCs w:val="18"/>
              </w:rPr>
              <w:t>11</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
                <w:sz w:val="18"/>
                <w:szCs w:val="18"/>
              </w:rPr>
            </w:pPr>
            <w:r>
              <w:rPr>
                <w:rFonts w:eastAsia="仿宋"/>
                <w:sz w:val="18"/>
                <w:szCs w:val="18"/>
              </w:rPr>
              <w:t>华为企业AI开发者认证班</w:t>
            </w:r>
          </w:p>
        </w:tc>
        <w:tc>
          <w:tcPr>
            <w:tcW w:w="4896" w:type="dxa"/>
            <w:tcBorders>
              <w:top w:val="nil"/>
              <w:left w:val="nil"/>
              <w:bottom w:val="single" w:color="auto" w:sz="4" w:space="0"/>
              <w:right w:val="single" w:color="auto" w:sz="4" w:space="0"/>
            </w:tcBorders>
            <w:shd w:val="clear" w:color="auto" w:fill="auto"/>
            <w:vAlign w:val="center"/>
          </w:tcPr>
          <w:p>
            <w:pPr>
              <w:rPr>
                <w:rFonts w:eastAsia="仿宋"/>
                <w:sz w:val="18"/>
                <w:szCs w:val="18"/>
              </w:rPr>
            </w:pPr>
            <w:r>
              <w:rPr>
                <w:rFonts w:eastAsia="仿宋"/>
                <w:sz w:val="18"/>
                <w:szCs w:val="18"/>
              </w:rPr>
              <w:t>HCIP-AI EI Developer认证定位于培养具有图像处理、语音处理和自然语言处理基础理论知识并能应用华为云EI等华为企业AI解决方案和通用开源框架进行开发、创新的专业人才。</w:t>
            </w:r>
            <w:r>
              <w:rPr>
                <w:rFonts w:eastAsia="仿宋"/>
                <w:sz w:val="18"/>
                <w:szCs w:val="18"/>
              </w:rPr>
              <w:br w:type="textWrapping"/>
            </w:r>
            <w:r>
              <w:rPr>
                <w:rFonts w:eastAsia="仿宋"/>
                <w:sz w:val="18"/>
                <w:szCs w:val="18"/>
              </w:rPr>
              <w:t>HCIP-AI EI Developer认证包括深度前馈网络、图像处理理论和应用、语音处理理论和应用、自然语言处理理论和应用、图像处理实验、语音处理实验、自然语言处理实验。</w:t>
            </w:r>
            <w:r>
              <w:rPr>
                <w:rFonts w:eastAsia="仿宋"/>
                <w:sz w:val="18"/>
                <w:szCs w:val="18"/>
              </w:rPr>
              <w:br w:type="textWrapping"/>
            </w:r>
            <w:r>
              <w:rPr>
                <w:rFonts w:eastAsia="仿宋"/>
                <w:sz w:val="18"/>
                <w:szCs w:val="18"/>
              </w:rPr>
              <w:t>企业拥有HCIP-AI EI Developer认证的工程师，意味着企业掌握了图像处理、语音处理、自然语言处理、华为云EI等华为企业AI解决方案和通用AI开源框架的基础原理、架构和应用开发的知识，具备了运用图像处理技术、语音处理技术、自然语言处理技术和华为云EI等华为AI解决方案平台和通用AI开源框架进行图像处理、语音处理和自然语言处理等企业人工智能产品和人工智能解决方案设计、开发的必备能力。</w:t>
            </w:r>
          </w:p>
          <w:p>
            <w:pPr>
              <w:widowControl/>
              <w:rPr>
                <w:rFonts w:eastAsia="仿宋"/>
                <w:b/>
                <w:sz w:val="18"/>
                <w:szCs w:val="18"/>
              </w:rPr>
            </w:pPr>
            <w:r>
              <w:rPr>
                <w:rFonts w:eastAsia="仿宋"/>
                <w:b/>
                <w:sz w:val="18"/>
                <w:szCs w:val="18"/>
              </w:rPr>
              <w:t>具体服务标准为：</w:t>
            </w:r>
          </w:p>
          <w:p>
            <w:pPr>
              <w:rPr>
                <w:rFonts w:eastAsia="仿宋"/>
                <w:sz w:val="18"/>
                <w:szCs w:val="18"/>
              </w:rPr>
            </w:pPr>
            <w:r>
              <w:rPr>
                <w:rFonts w:eastAsia="仿宋"/>
                <w:sz w:val="18"/>
                <w:szCs w:val="18"/>
              </w:rPr>
              <w:t>1.培训时长5天，25人以内</w:t>
            </w:r>
          </w:p>
          <w:p>
            <w:pPr>
              <w:rPr>
                <w:rFonts w:eastAsia="仿宋"/>
                <w:sz w:val="18"/>
                <w:szCs w:val="18"/>
              </w:rPr>
            </w:pPr>
            <w:r>
              <w:rPr>
                <w:rFonts w:eastAsia="仿宋"/>
                <w:sz w:val="18"/>
                <w:szCs w:val="18"/>
              </w:rPr>
              <w:t>2.资深培训讲师（华为人工智能高级技术专家，5年以上丰富的AI相关技术开发与培训经验）</w:t>
            </w:r>
          </w:p>
          <w:p>
            <w:pPr>
              <w:rPr>
                <w:rFonts w:eastAsia="仿宋"/>
                <w:sz w:val="18"/>
                <w:szCs w:val="18"/>
              </w:rPr>
            </w:pPr>
            <w:r>
              <w:rPr>
                <w:rFonts w:eastAsia="仿宋"/>
                <w:sz w:val="18"/>
                <w:szCs w:val="18"/>
              </w:rPr>
              <w:t>3.通过华为人工智能认证测试（若未通过测试，可免费参加下一期培训，第二次考试费需自付）</w:t>
            </w:r>
          </w:p>
        </w:tc>
        <w:tc>
          <w:tcPr>
            <w:tcW w:w="828" w:type="dxa"/>
            <w:tcBorders>
              <w:top w:val="nil"/>
              <w:left w:val="nil"/>
              <w:bottom w:val="single" w:color="auto" w:sz="4" w:space="0"/>
              <w:right w:val="single" w:color="auto" w:sz="4" w:space="0"/>
            </w:tcBorders>
            <w:shd w:val="clear" w:color="auto" w:fill="auto"/>
            <w:vAlign w:val="center"/>
          </w:tcPr>
          <w:p>
            <w:pPr>
              <w:widowControl/>
              <w:jc w:val="right"/>
              <w:rPr>
                <w:rFonts w:eastAsia="仿宋"/>
                <w:sz w:val="18"/>
                <w:szCs w:val="18"/>
              </w:rPr>
            </w:pPr>
            <w:r>
              <w:rPr>
                <w:rFonts w:eastAsia="仿宋"/>
                <w:sz w:val="18"/>
                <w:szCs w:val="18"/>
              </w:rPr>
              <w:t>元/班/次</w:t>
            </w:r>
          </w:p>
        </w:tc>
        <w:tc>
          <w:tcPr>
            <w:tcW w:w="1296" w:type="dxa"/>
            <w:tcBorders>
              <w:top w:val="nil"/>
              <w:left w:val="nil"/>
              <w:bottom w:val="single" w:color="auto" w:sz="4" w:space="0"/>
              <w:right w:val="single" w:color="auto" w:sz="4" w:space="0"/>
            </w:tcBorders>
            <w:shd w:val="clear" w:color="auto" w:fill="auto"/>
            <w:vAlign w:val="center"/>
          </w:tcPr>
          <w:p>
            <w:pPr>
              <w:jc w:val="center"/>
              <w:rPr>
                <w:rFonts w:eastAsia="仿宋"/>
                <w:sz w:val="18"/>
                <w:szCs w:val="18"/>
              </w:rPr>
            </w:pPr>
            <w:r>
              <w:rPr>
                <w:rFonts w:eastAsia="仿宋"/>
                <w:sz w:val="18"/>
                <w:szCs w:val="18"/>
              </w:rPr>
              <w:t xml:space="preserve">750,000 </w:t>
            </w:r>
          </w:p>
        </w:tc>
      </w:tr>
      <w:tr>
        <w:tblPrEx>
          <w:tblCellMar>
            <w:top w:w="0" w:type="dxa"/>
            <w:left w:w="108" w:type="dxa"/>
            <w:bottom w:w="0" w:type="dxa"/>
            <w:right w:w="108" w:type="dxa"/>
          </w:tblCellMar>
        </w:tblPrEx>
        <w:trPr>
          <w:trHeight w:val="1262" w:hRule="atLeast"/>
        </w:trPr>
        <w:tc>
          <w:tcPr>
            <w:tcW w:w="989" w:type="dxa"/>
            <w:vMerge w:val="continue"/>
            <w:tcBorders>
              <w:top w:val="single" w:color="auto" w:sz="4" w:space="0"/>
              <w:left w:val="single" w:color="auto" w:sz="4" w:space="0"/>
              <w:bottom w:val="nil"/>
              <w:right w:val="single" w:color="auto" w:sz="4" w:space="0"/>
            </w:tcBorders>
            <w:shd w:val="clear" w:color="auto" w:fill="auto"/>
            <w:vAlign w:val="center"/>
          </w:tcPr>
          <w:p>
            <w:pPr>
              <w:rPr>
                <w:sz w:val="20"/>
                <w:szCs w:val="20"/>
              </w:rPr>
            </w:pPr>
          </w:p>
        </w:tc>
        <w:tc>
          <w:tcPr>
            <w:tcW w:w="5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
                <w:sz w:val="18"/>
                <w:szCs w:val="18"/>
              </w:rPr>
            </w:pPr>
            <w:r>
              <w:rPr>
                <w:rFonts w:eastAsia="仿宋"/>
                <w:sz w:val="18"/>
                <w:szCs w:val="18"/>
              </w:rPr>
              <w:t>12</w:t>
            </w:r>
          </w:p>
        </w:tc>
        <w:tc>
          <w:tcPr>
            <w:tcW w:w="708" w:type="dxa"/>
            <w:tcBorders>
              <w:top w:val="single" w:color="auto" w:sz="4" w:space="0"/>
              <w:left w:val="nil"/>
              <w:bottom w:val="single" w:color="auto" w:sz="4" w:space="0"/>
              <w:right w:val="single" w:color="auto" w:sz="4" w:space="0"/>
            </w:tcBorders>
            <w:shd w:val="clear" w:color="auto" w:fill="auto"/>
            <w:vAlign w:val="center"/>
          </w:tcPr>
          <w:p>
            <w:pPr>
              <w:rPr>
                <w:rFonts w:eastAsia="仿宋"/>
                <w:sz w:val="18"/>
                <w:szCs w:val="18"/>
              </w:rPr>
            </w:pPr>
            <w:r>
              <w:rPr>
                <w:rFonts w:eastAsia="仿宋"/>
                <w:sz w:val="18"/>
                <w:szCs w:val="18"/>
              </w:rPr>
              <w:t>华为终端AI开发者认证班（HCIP-AI HiAI Developer）</w:t>
            </w:r>
          </w:p>
        </w:tc>
        <w:tc>
          <w:tcPr>
            <w:tcW w:w="4896" w:type="dxa"/>
            <w:tcBorders>
              <w:top w:val="nil"/>
              <w:left w:val="nil"/>
              <w:bottom w:val="single" w:color="auto" w:sz="4" w:space="0"/>
              <w:right w:val="single" w:color="auto" w:sz="4" w:space="0"/>
            </w:tcBorders>
            <w:shd w:val="clear" w:color="auto" w:fill="auto"/>
            <w:vAlign w:val="center"/>
          </w:tcPr>
          <w:p>
            <w:pPr>
              <w:rPr>
                <w:rFonts w:eastAsia="仿宋"/>
                <w:sz w:val="18"/>
                <w:szCs w:val="18"/>
              </w:rPr>
            </w:pPr>
            <w:r>
              <w:rPr>
                <w:rFonts w:eastAsia="仿宋"/>
                <w:sz w:val="18"/>
                <w:szCs w:val="18"/>
              </w:rPr>
              <w:t>HCIP-AI HiAI Developer认证定位于培养具有计算机视觉、自动语音识别和自然语言理解基础理论知识并能应用华为端芯云结合的三层开放移动计算平台HiAI进行开发、创新的专业人才（例如：具备开发AI APP能力的专业人才）。</w:t>
            </w:r>
            <w:r>
              <w:rPr>
                <w:rFonts w:eastAsia="仿宋"/>
                <w:sz w:val="18"/>
                <w:szCs w:val="18"/>
              </w:rPr>
              <w:br w:type="textWrapping"/>
            </w:r>
            <w:r>
              <w:rPr>
                <w:rFonts w:eastAsia="仿宋"/>
                <w:sz w:val="18"/>
                <w:szCs w:val="18"/>
              </w:rPr>
              <w:t>HCIP-AI HiAI Developer认证包括深度前馈网络、计算机视觉理论和应用、自动语音识别理论和应用、自然语言理解理论和应用、HiAI平台概览、HiAI Foundation应用开发、HiAI Engine应用开发、HiAI Service应用开发。</w:t>
            </w:r>
            <w:r>
              <w:rPr>
                <w:rFonts w:eastAsia="仿宋"/>
                <w:sz w:val="18"/>
                <w:szCs w:val="18"/>
              </w:rPr>
              <w:br w:type="textWrapping"/>
            </w:r>
            <w:r>
              <w:rPr>
                <w:rFonts w:eastAsia="仿宋"/>
                <w:sz w:val="18"/>
                <w:szCs w:val="18"/>
              </w:rPr>
              <w:t>企业拥有HCIP-AI HiAI Developer认证的工程师，意味着企业掌握了计算机视觉、自动语音识别、自然语言理解、华为端芯云结合的三层开放移动计算平台HiAI的基础原理、架构和应用开发的知识，具备了运用计算机视觉技术、自动语音识别技术、自然语言理解技术和HiAI移动计算平台进行AI APP、计算机视觉、自动语音识别和自然语言理解等终端人工智能产品和人工智能解决方案设计、开发的必备能力。</w:t>
            </w:r>
          </w:p>
          <w:p>
            <w:pPr>
              <w:rPr>
                <w:rFonts w:eastAsia="仿宋"/>
                <w:b/>
                <w:sz w:val="18"/>
                <w:szCs w:val="18"/>
              </w:rPr>
            </w:pPr>
            <w:r>
              <w:rPr>
                <w:rFonts w:eastAsia="仿宋"/>
                <w:b/>
                <w:sz w:val="18"/>
                <w:szCs w:val="18"/>
              </w:rPr>
              <w:t>具体服务标准为：</w:t>
            </w:r>
          </w:p>
          <w:p>
            <w:pPr>
              <w:rPr>
                <w:rFonts w:eastAsia="仿宋"/>
                <w:sz w:val="18"/>
                <w:szCs w:val="18"/>
              </w:rPr>
            </w:pPr>
            <w:r>
              <w:rPr>
                <w:rFonts w:eastAsia="仿宋"/>
                <w:sz w:val="18"/>
                <w:szCs w:val="18"/>
              </w:rPr>
              <w:t>1.培训时长5天，25人以内</w:t>
            </w:r>
          </w:p>
          <w:p>
            <w:pPr>
              <w:rPr>
                <w:rFonts w:eastAsia="仿宋"/>
                <w:sz w:val="18"/>
                <w:szCs w:val="18"/>
              </w:rPr>
            </w:pPr>
            <w:r>
              <w:rPr>
                <w:rFonts w:eastAsia="仿宋"/>
                <w:sz w:val="18"/>
                <w:szCs w:val="18"/>
              </w:rPr>
              <w:t>2.资深培训讲师（华为人工智能高级技术专家，5年以上丰富的AI相关技术开发与培训经验）</w:t>
            </w:r>
          </w:p>
          <w:p>
            <w:pPr>
              <w:rPr>
                <w:rFonts w:eastAsia="仿宋"/>
                <w:sz w:val="18"/>
                <w:szCs w:val="18"/>
              </w:rPr>
            </w:pPr>
            <w:r>
              <w:rPr>
                <w:rFonts w:eastAsia="仿宋"/>
                <w:sz w:val="18"/>
                <w:szCs w:val="18"/>
              </w:rPr>
              <w:t>3.通过华为人工智能认证测试（若未通过测试，可免费参加下一期培训，第二次考试费需自付）</w:t>
            </w:r>
          </w:p>
        </w:tc>
        <w:tc>
          <w:tcPr>
            <w:tcW w:w="828" w:type="dxa"/>
            <w:tcBorders>
              <w:top w:val="nil"/>
              <w:left w:val="nil"/>
              <w:bottom w:val="single" w:color="auto" w:sz="4" w:space="0"/>
              <w:right w:val="single" w:color="auto" w:sz="4" w:space="0"/>
            </w:tcBorders>
            <w:shd w:val="clear" w:color="auto" w:fill="auto"/>
            <w:vAlign w:val="center"/>
          </w:tcPr>
          <w:p>
            <w:pPr>
              <w:widowControl/>
              <w:jc w:val="right"/>
              <w:rPr>
                <w:rFonts w:eastAsia="仿宋"/>
                <w:sz w:val="18"/>
                <w:szCs w:val="18"/>
              </w:rPr>
            </w:pPr>
            <w:r>
              <w:rPr>
                <w:rFonts w:eastAsia="仿宋"/>
                <w:sz w:val="18"/>
                <w:szCs w:val="18"/>
              </w:rPr>
              <w:t>元/班/次</w:t>
            </w:r>
          </w:p>
        </w:tc>
        <w:tc>
          <w:tcPr>
            <w:tcW w:w="1296" w:type="dxa"/>
            <w:tcBorders>
              <w:top w:val="nil"/>
              <w:left w:val="nil"/>
              <w:bottom w:val="single" w:color="auto" w:sz="4" w:space="0"/>
              <w:right w:val="single" w:color="auto" w:sz="4" w:space="0"/>
            </w:tcBorders>
            <w:shd w:val="clear" w:color="auto" w:fill="auto"/>
            <w:vAlign w:val="center"/>
          </w:tcPr>
          <w:p>
            <w:pPr>
              <w:jc w:val="center"/>
              <w:rPr>
                <w:rFonts w:eastAsia="仿宋"/>
                <w:sz w:val="18"/>
                <w:szCs w:val="18"/>
              </w:rPr>
            </w:pPr>
            <w:r>
              <w:rPr>
                <w:rFonts w:eastAsia="仿宋"/>
                <w:sz w:val="18"/>
                <w:szCs w:val="18"/>
              </w:rPr>
              <w:t xml:space="preserve">750,000 </w:t>
            </w:r>
          </w:p>
        </w:tc>
      </w:tr>
      <w:tr>
        <w:tblPrEx>
          <w:tblCellMar>
            <w:top w:w="0" w:type="dxa"/>
            <w:left w:w="108" w:type="dxa"/>
            <w:bottom w:w="0" w:type="dxa"/>
            <w:right w:w="108" w:type="dxa"/>
          </w:tblCellMar>
        </w:tblPrEx>
        <w:trPr>
          <w:trHeight w:val="1262" w:hRule="atLeast"/>
        </w:trPr>
        <w:tc>
          <w:tcPr>
            <w:tcW w:w="989" w:type="dxa"/>
            <w:vMerge w:val="continue"/>
            <w:tcBorders>
              <w:top w:val="single" w:color="auto" w:sz="4" w:space="0"/>
              <w:left w:val="single" w:color="auto" w:sz="4" w:space="0"/>
              <w:bottom w:val="nil"/>
              <w:right w:val="single" w:color="auto" w:sz="4" w:space="0"/>
            </w:tcBorders>
            <w:shd w:val="clear" w:color="auto" w:fill="auto"/>
            <w:vAlign w:val="center"/>
          </w:tcPr>
          <w:p>
            <w:pPr>
              <w:rPr>
                <w:sz w:val="20"/>
                <w:szCs w:val="20"/>
              </w:rPr>
            </w:pPr>
          </w:p>
        </w:tc>
        <w:tc>
          <w:tcPr>
            <w:tcW w:w="5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
                <w:sz w:val="18"/>
                <w:szCs w:val="18"/>
              </w:rPr>
            </w:pPr>
            <w:r>
              <w:rPr>
                <w:rFonts w:eastAsia="仿宋"/>
                <w:sz w:val="18"/>
                <w:szCs w:val="18"/>
              </w:rPr>
              <w:t>13</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textAlignment w:val="center"/>
              <w:rPr>
                <w:rFonts w:eastAsia="仿宋"/>
                <w:szCs w:val="21"/>
              </w:rPr>
            </w:pPr>
            <w:r>
              <w:rPr>
                <w:rFonts w:eastAsia="仿宋"/>
                <w:sz w:val="18"/>
                <w:szCs w:val="18"/>
              </w:rPr>
              <w:t>AI高校学科专项建设方案</w:t>
            </w:r>
          </w:p>
        </w:tc>
        <w:tc>
          <w:tcPr>
            <w:tcW w:w="4896" w:type="dxa"/>
            <w:tcBorders>
              <w:top w:val="nil"/>
              <w:left w:val="nil"/>
              <w:bottom w:val="single" w:color="auto" w:sz="4" w:space="0"/>
              <w:right w:val="single" w:color="auto" w:sz="4" w:space="0"/>
            </w:tcBorders>
            <w:shd w:val="clear" w:color="auto" w:fill="auto"/>
            <w:vAlign w:val="center"/>
          </w:tcPr>
          <w:p>
            <w:pPr>
              <w:rPr>
                <w:szCs w:val="21"/>
              </w:rPr>
            </w:pPr>
            <w:r>
              <w:rPr>
                <w:rFonts w:eastAsia="仿宋"/>
                <w:sz w:val="18"/>
                <w:szCs w:val="18"/>
              </w:rPr>
              <w:t>帮助高校构建人工智能学科体系以及学分制系统性教学方案。包括专业核心课及案例实训课程(ModelArts基础应用实战、实例分割综合案例实践、人脸识别综合案例实践、视频内容分析综合案例实践、深度学习下的OCR技术综合案例实践、生成对抗网络综合案例实践、文本情感分析和文本相似度应用综合案例实践、基于知识库的问答系统综合案例实践和语音识别综合实践案例)等AI高校学科课程建设服务和AI高校学科师资培训服务等。包含9门课程，包含216课时，其中实验课程不低于131课时。</w:t>
            </w:r>
          </w:p>
        </w:tc>
        <w:tc>
          <w:tcPr>
            <w:tcW w:w="828" w:type="dxa"/>
            <w:tcBorders>
              <w:top w:val="nil"/>
              <w:left w:val="nil"/>
              <w:bottom w:val="single" w:color="auto" w:sz="4" w:space="0"/>
              <w:right w:val="single" w:color="auto" w:sz="4" w:space="0"/>
            </w:tcBorders>
            <w:shd w:val="clear" w:color="auto" w:fill="auto"/>
            <w:vAlign w:val="center"/>
          </w:tcPr>
          <w:p>
            <w:pPr>
              <w:widowControl/>
              <w:jc w:val="right"/>
              <w:rPr>
                <w:rFonts w:eastAsia="仿宋"/>
                <w:sz w:val="18"/>
                <w:szCs w:val="18"/>
              </w:rPr>
            </w:pPr>
            <w:r>
              <w:rPr>
                <w:rFonts w:eastAsia="仿宋"/>
                <w:sz w:val="18"/>
                <w:szCs w:val="18"/>
              </w:rPr>
              <w:t>元/学科</w:t>
            </w:r>
          </w:p>
        </w:tc>
        <w:tc>
          <w:tcPr>
            <w:tcW w:w="1296" w:type="dxa"/>
            <w:tcBorders>
              <w:top w:val="nil"/>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¥1,303,090</w:t>
            </w:r>
          </w:p>
        </w:tc>
      </w:tr>
      <w:tr>
        <w:tblPrEx>
          <w:tblCellMar>
            <w:top w:w="0" w:type="dxa"/>
            <w:left w:w="108" w:type="dxa"/>
            <w:bottom w:w="0" w:type="dxa"/>
            <w:right w:w="108" w:type="dxa"/>
          </w:tblCellMar>
        </w:tblPrEx>
        <w:trPr>
          <w:trHeight w:val="960" w:hRule="atLeast"/>
        </w:trPr>
        <w:tc>
          <w:tcPr>
            <w:tcW w:w="989" w:type="dxa"/>
            <w:vMerge w:val="continue"/>
            <w:tcBorders>
              <w:top w:val="single" w:color="auto" w:sz="4" w:space="0"/>
              <w:left w:val="single" w:color="auto" w:sz="4" w:space="0"/>
              <w:bottom w:val="nil"/>
              <w:right w:val="single" w:color="auto" w:sz="4" w:space="0"/>
            </w:tcBorders>
            <w:shd w:val="clear" w:color="auto" w:fill="auto"/>
            <w:vAlign w:val="center"/>
          </w:tcPr>
          <w:p>
            <w:pPr>
              <w:rPr>
                <w:sz w:val="20"/>
                <w:szCs w:val="20"/>
              </w:rPr>
            </w:pPr>
          </w:p>
        </w:tc>
        <w:tc>
          <w:tcPr>
            <w:tcW w:w="5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
                <w:sz w:val="18"/>
                <w:szCs w:val="18"/>
              </w:rPr>
            </w:pPr>
            <w:r>
              <w:rPr>
                <w:rFonts w:eastAsia="仿宋"/>
                <w:sz w:val="18"/>
                <w:szCs w:val="18"/>
              </w:rPr>
              <w:t>14</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AI大赛</w:t>
            </w:r>
          </w:p>
        </w:tc>
        <w:tc>
          <w:tcPr>
            <w:tcW w:w="4896" w:type="dxa"/>
            <w:tcBorders>
              <w:top w:val="nil"/>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协助组织AI大赛150人以内大型活动、挑战赛、创意赛等，营造产业与人才培养的氛围，提供AI大赛赛题、云计算资源环境、评审委员会、技术支撑人员、讲师，不包含奖品</w:t>
            </w:r>
          </w:p>
          <w:p>
            <w:pPr>
              <w:widowControl/>
              <w:rPr>
                <w:rFonts w:eastAsia="仿宋"/>
                <w:b/>
                <w:sz w:val="18"/>
                <w:szCs w:val="18"/>
              </w:rPr>
            </w:pPr>
            <w:r>
              <w:rPr>
                <w:rFonts w:eastAsia="仿宋"/>
                <w:b/>
                <w:sz w:val="18"/>
                <w:szCs w:val="18"/>
              </w:rPr>
              <w:t>具体服务标准为：</w:t>
            </w:r>
          </w:p>
          <w:p>
            <w:pPr>
              <w:widowControl/>
              <w:rPr>
                <w:rFonts w:eastAsia="仿宋"/>
                <w:sz w:val="18"/>
                <w:szCs w:val="18"/>
              </w:rPr>
            </w:pPr>
            <w:r>
              <w:rPr>
                <w:rFonts w:eastAsia="仿宋"/>
                <w:sz w:val="18"/>
                <w:szCs w:val="18"/>
              </w:rPr>
              <w:t>1.根据需求场景设计策划案、通过甲方评审</w:t>
            </w:r>
          </w:p>
          <w:p>
            <w:pPr>
              <w:widowControl/>
              <w:rPr>
                <w:rFonts w:eastAsia="仿宋"/>
                <w:sz w:val="18"/>
                <w:szCs w:val="18"/>
              </w:rPr>
            </w:pPr>
            <w:r>
              <w:rPr>
                <w:rFonts w:eastAsia="仿宋"/>
                <w:sz w:val="18"/>
                <w:szCs w:val="18"/>
              </w:rPr>
              <w:t>2.邀请双方认可的专家评委</w:t>
            </w:r>
          </w:p>
          <w:p>
            <w:pPr>
              <w:widowControl/>
              <w:rPr>
                <w:rFonts w:eastAsia="仿宋"/>
                <w:sz w:val="18"/>
                <w:szCs w:val="18"/>
              </w:rPr>
            </w:pPr>
            <w:r>
              <w:rPr>
                <w:rFonts w:eastAsia="仿宋"/>
                <w:sz w:val="18"/>
                <w:szCs w:val="18"/>
              </w:rPr>
              <w:t>3.资深培训讲师（华为人工智能高级技术专家，5年以上丰富的AI相关技术开发与培训经验）</w:t>
            </w:r>
          </w:p>
        </w:tc>
        <w:tc>
          <w:tcPr>
            <w:tcW w:w="828" w:type="dxa"/>
            <w:tcBorders>
              <w:top w:val="nil"/>
              <w:left w:val="nil"/>
              <w:bottom w:val="single" w:color="auto" w:sz="4" w:space="0"/>
              <w:right w:val="single" w:color="auto" w:sz="4" w:space="0"/>
            </w:tcBorders>
            <w:shd w:val="clear" w:color="auto" w:fill="auto"/>
            <w:vAlign w:val="center"/>
          </w:tcPr>
          <w:p>
            <w:pPr>
              <w:widowControl/>
              <w:jc w:val="right"/>
              <w:rPr>
                <w:rFonts w:eastAsia="仿宋"/>
                <w:sz w:val="18"/>
                <w:szCs w:val="18"/>
              </w:rPr>
            </w:pPr>
            <w:r>
              <w:rPr>
                <w:rFonts w:eastAsia="仿宋"/>
                <w:sz w:val="18"/>
                <w:szCs w:val="18"/>
              </w:rPr>
              <w:t>元/场次</w:t>
            </w:r>
          </w:p>
        </w:tc>
        <w:tc>
          <w:tcPr>
            <w:tcW w:w="1296" w:type="dxa"/>
            <w:tcBorders>
              <w:top w:val="nil"/>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¥3,000,000.00</w:t>
            </w:r>
          </w:p>
        </w:tc>
      </w:tr>
      <w:tr>
        <w:tblPrEx>
          <w:tblCellMar>
            <w:top w:w="0" w:type="dxa"/>
            <w:left w:w="108" w:type="dxa"/>
            <w:bottom w:w="0" w:type="dxa"/>
            <w:right w:w="108" w:type="dxa"/>
          </w:tblCellMar>
        </w:tblPrEx>
        <w:trPr>
          <w:trHeight w:val="1680" w:hRule="atLeast"/>
        </w:trPr>
        <w:tc>
          <w:tcPr>
            <w:tcW w:w="989" w:type="dxa"/>
            <w:vMerge w:val="continue"/>
            <w:tcBorders>
              <w:top w:val="single" w:color="auto" w:sz="4" w:space="0"/>
              <w:left w:val="single" w:color="auto" w:sz="4" w:space="0"/>
              <w:bottom w:val="nil"/>
              <w:right w:val="single" w:color="auto" w:sz="4" w:space="0"/>
            </w:tcBorders>
            <w:shd w:val="clear" w:color="auto" w:fill="auto"/>
            <w:vAlign w:val="center"/>
          </w:tcPr>
          <w:p>
            <w:pPr>
              <w:rPr>
                <w:sz w:val="20"/>
                <w:szCs w:val="20"/>
              </w:rPr>
            </w:pPr>
          </w:p>
        </w:tc>
        <w:tc>
          <w:tcPr>
            <w:tcW w:w="5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
                <w:sz w:val="18"/>
                <w:szCs w:val="18"/>
              </w:rPr>
            </w:pPr>
            <w:r>
              <w:rPr>
                <w:rFonts w:eastAsia="仿宋"/>
                <w:sz w:val="18"/>
                <w:szCs w:val="18"/>
              </w:rPr>
              <w:t>15</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AI高校学科整体建设方案</w:t>
            </w:r>
          </w:p>
        </w:tc>
        <w:tc>
          <w:tcPr>
            <w:tcW w:w="4896"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帮助高校构建人工智能学科体系以及学分制系统性教学方案。包括专业核心课（Linux Shell脚本编程、Python程序设计、网络爬虫技术与实战、数据集处理技术与应用、机器学习技术、数据挖掘技术与应用、深度学习技术、强化学习技术、计算机视觉技术与实战、语音识别技术与应用、自然语言处理技术与应用、推荐系统技术及实战、华为人工智能技术基础（初级认证）HCIA-AI 2.0、Hadoop技术原理、大数据流式计算引擎、HCIA-BIG DATA）及案例实训课程（实例分割综合案例实践、人脸识别综合案例实践、视频内容分析综合案例实践、深度学习下的OCR技术综合案例实践、生成对抗网络综合案例实践、文本情感分析和文本相似度应用综合案例实践、基于知识库的问答系统综合案例实践、语音识别综合实践案例、金融风控违约预测实战、运营商分析挖掘实战、客户离网预测实战）。包括两大类28门课程，共包含1088课时，其中实验课程不低于600课时，教师赋能培训15天，实训平台使用3年</w:t>
            </w:r>
          </w:p>
        </w:tc>
        <w:tc>
          <w:tcPr>
            <w:tcW w:w="828"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eastAsia="仿宋"/>
                <w:sz w:val="18"/>
                <w:szCs w:val="18"/>
              </w:rPr>
            </w:pPr>
            <w:r>
              <w:rPr>
                <w:rFonts w:eastAsia="仿宋"/>
                <w:sz w:val="18"/>
                <w:szCs w:val="18"/>
              </w:rPr>
              <w:t>元/学科</w:t>
            </w:r>
          </w:p>
        </w:tc>
        <w:tc>
          <w:tcPr>
            <w:tcW w:w="1296"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¥3,000,000.00</w:t>
            </w:r>
          </w:p>
        </w:tc>
      </w:tr>
      <w:tr>
        <w:tblPrEx>
          <w:tblCellMar>
            <w:top w:w="0" w:type="dxa"/>
            <w:left w:w="108" w:type="dxa"/>
            <w:bottom w:w="0" w:type="dxa"/>
            <w:right w:w="108" w:type="dxa"/>
          </w:tblCellMar>
        </w:tblPrEx>
        <w:trPr>
          <w:trHeight w:val="473" w:hRule="atLeast"/>
        </w:trPr>
        <w:tc>
          <w:tcPr>
            <w:tcW w:w="927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备注：原则上每次申报单个项目只允许申请一项华为AI培训服务。</w:t>
            </w:r>
          </w:p>
        </w:tc>
      </w:tr>
    </w:tbl>
    <w:p>
      <w:pPr>
        <w:rPr>
          <w:szCs w:val="21"/>
        </w:rPr>
      </w:pPr>
    </w:p>
    <w:p>
      <w:pPr>
        <w:rPr>
          <w:szCs w:val="21"/>
        </w:rPr>
      </w:pPr>
    </w:p>
    <w:tbl>
      <w:tblPr>
        <w:tblStyle w:val="4"/>
        <w:tblW w:w="9273" w:type="dxa"/>
        <w:tblInd w:w="5" w:type="dxa"/>
        <w:tblLayout w:type="fixed"/>
        <w:tblCellMar>
          <w:top w:w="0" w:type="dxa"/>
          <w:left w:w="108" w:type="dxa"/>
          <w:bottom w:w="0" w:type="dxa"/>
          <w:right w:w="108" w:type="dxa"/>
        </w:tblCellMar>
      </w:tblPr>
      <w:tblGrid>
        <w:gridCol w:w="989"/>
        <w:gridCol w:w="556"/>
        <w:gridCol w:w="708"/>
        <w:gridCol w:w="4896"/>
        <w:gridCol w:w="828"/>
        <w:gridCol w:w="1296"/>
      </w:tblGrid>
      <w:tr>
        <w:tblPrEx>
          <w:tblCellMar>
            <w:top w:w="0" w:type="dxa"/>
            <w:left w:w="108" w:type="dxa"/>
            <w:bottom w:w="0" w:type="dxa"/>
            <w:right w:w="108" w:type="dxa"/>
          </w:tblCellMar>
        </w:tblPrEx>
        <w:trPr>
          <w:trHeight w:val="734" w:hRule="atLeast"/>
        </w:trPr>
        <w:tc>
          <w:tcPr>
            <w:tcW w:w="927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黑体"/>
                <w:b/>
                <w:sz w:val="18"/>
                <w:szCs w:val="18"/>
              </w:rPr>
            </w:pPr>
            <w:r>
              <w:rPr>
                <w:rFonts w:eastAsia="黑体"/>
                <w:b/>
                <w:sz w:val="28"/>
                <w:szCs w:val="28"/>
              </w:rPr>
              <w:t>三、华为AI联合创新服务</w:t>
            </w:r>
          </w:p>
        </w:tc>
      </w:tr>
      <w:tr>
        <w:tblPrEx>
          <w:tblCellMar>
            <w:top w:w="0" w:type="dxa"/>
            <w:left w:w="108" w:type="dxa"/>
            <w:bottom w:w="0" w:type="dxa"/>
            <w:right w:w="108" w:type="dxa"/>
          </w:tblCellMar>
        </w:tblPrEx>
        <w:trPr>
          <w:trHeight w:val="1680" w:hRule="atLeast"/>
        </w:trPr>
        <w:tc>
          <w:tcPr>
            <w:tcW w:w="98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sz w:val="18"/>
                <w:szCs w:val="18"/>
              </w:rPr>
            </w:pPr>
            <w:r>
              <w:rPr>
                <w:rFonts w:eastAsia="仿宋"/>
                <w:sz w:val="18"/>
                <w:szCs w:val="18"/>
              </w:rPr>
              <w:t>华为AI联合创新服务</w:t>
            </w:r>
          </w:p>
        </w:tc>
        <w:tc>
          <w:tcPr>
            <w:tcW w:w="5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
                <w:sz w:val="18"/>
                <w:szCs w:val="18"/>
              </w:rPr>
            </w:pPr>
            <w:r>
              <w:rPr>
                <w:rFonts w:eastAsia="仿宋"/>
                <w:sz w:val="18"/>
                <w:szCs w:val="18"/>
              </w:rPr>
              <w:t>1</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
                <w:sz w:val="18"/>
                <w:szCs w:val="18"/>
              </w:rPr>
            </w:pPr>
            <w:r>
              <w:rPr>
                <w:rFonts w:eastAsia="仿宋"/>
                <w:sz w:val="18"/>
                <w:szCs w:val="18"/>
              </w:rPr>
              <w:t>联合创新设计服务</w:t>
            </w:r>
          </w:p>
        </w:tc>
        <w:tc>
          <w:tcPr>
            <w:tcW w:w="4896"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与企业的联合创新场景必选服务条目，提供专家到场的企业咨询服务（合计不超过7人天），帮助企业从AI角度论证可行性，并给出AI实现方案。</w:t>
            </w:r>
          </w:p>
          <w:p>
            <w:pPr>
              <w:widowControl/>
              <w:rPr>
                <w:rFonts w:eastAsia="仿宋"/>
                <w:sz w:val="18"/>
                <w:szCs w:val="18"/>
              </w:rPr>
            </w:pPr>
            <w:r>
              <w:rPr>
                <w:rFonts w:eastAsia="仿宋"/>
                <w:sz w:val="18"/>
                <w:szCs w:val="18"/>
              </w:rPr>
              <w:t>非联合创新场景不单独提供此项服务。</w:t>
            </w:r>
          </w:p>
          <w:p>
            <w:pPr>
              <w:widowControl/>
              <w:rPr>
                <w:rFonts w:eastAsia="仿宋"/>
                <w:b/>
                <w:sz w:val="18"/>
                <w:szCs w:val="18"/>
              </w:rPr>
            </w:pPr>
            <w:r>
              <w:rPr>
                <w:rFonts w:eastAsia="仿宋"/>
                <w:b/>
                <w:sz w:val="18"/>
                <w:szCs w:val="18"/>
              </w:rPr>
              <w:t>具体服务标准为：</w:t>
            </w:r>
          </w:p>
          <w:p>
            <w:pPr>
              <w:widowControl/>
              <w:rPr>
                <w:rFonts w:eastAsia="仿宋"/>
                <w:kern w:val="0"/>
                <w:sz w:val="18"/>
                <w:szCs w:val="18"/>
              </w:rPr>
            </w:pPr>
            <w:r>
              <w:rPr>
                <w:rFonts w:eastAsia="仿宋"/>
                <w:sz w:val="18"/>
                <w:szCs w:val="18"/>
              </w:rPr>
              <w:t>对齐企业需求，输出企业认可的技术可行性方案或设计方案</w:t>
            </w:r>
          </w:p>
        </w:tc>
        <w:tc>
          <w:tcPr>
            <w:tcW w:w="828"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元/方案</w:t>
            </w:r>
          </w:p>
        </w:tc>
        <w:tc>
          <w:tcPr>
            <w:tcW w:w="12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
                <w:sz w:val="18"/>
                <w:szCs w:val="18"/>
              </w:rPr>
            </w:pPr>
            <w:r>
              <w:rPr>
                <w:rFonts w:eastAsia="仿宋"/>
                <w:sz w:val="18"/>
                <w:szCs w:val="18"/>
              </w:rPr>
              <w:t>¥300,000.00</w:t>
            </w:r>
          </w:p>
        </w:tc>
      </w:tr>
      <w:tr>
        <w:tblPrEx>
          <w:tblCellMar>
            <w:top w:w="0" w:type="dxa"/>
            <w:left w:w="108" w:type="dxa"/>
            <w:bottom w:w="0" w:type="dxa"/>
            <w:right w:w="108" w:type="dxa"/>
          </w:tblCellMar>
        </w:tblPrEx>
        <w:trPr>
          <w:trHeight w:val="1680" w:hRule="atLeast"/>
        </w:trPr>
        <w:tc>
          <w:tcPr>
            <w:tcW w:w="989"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5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
                <w:sz w:val="18"/>
                <w:szCs w:val="18"/>
              </w:rPr>
            </w:pPr>
            <w:r>
              <w:rPr>
                <w:rFonts w:eastAsia="仿宋"/>
                <w:sz w:val="18"/>
                <w:szCs w:val="18"/>
              </w:rPr>
              <w:t>2</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
                <w:sz w:val="18"/>
                <w:szCs w:val="18"/>
              </w:rPr>
            </w:pPr>
            <w:r>
              <w:rPr>
                <w:rFonts w:eastAsia="仿宋"/>
                <w:sz w:val="18"/>
                <w:szCs w:val="18"/>
              </w:rPr>
              <w:t>联合创新的模型预研、模型推理、模型优化服务或AI解决方案研发服务</w:t>
            </w:r>
          </w:p>
        </w:tc>
        <w:tc>
          <w:tcPr>
            <w:tcW w:w="4896"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与企业在视觉、语音、文字、知识图谱、自然语言处理等方向的重点战略项目上进行联合创新，提供模型预研、模型推理、模型优化服务或AI解决方案研发服务。</w:t>
            </w:r>
          </w:p>
          <w:p>
            <w:pPr>
              <w:widowControl/>
              <w:rPr>
                <w:rFonts w:eastAsia="仿宋"/>
                <w:b/>
                <w:sz w:val="18"/>
                <w:szCs w:val="18"/>
              </w:rPr>
            </w:pPr>
            <w:r>
              <w:rPr>
                <w:rFonts w:eastAsia="仿宋"/>
                <w:b/>
                <w:sz w:val="18"/>
                <w:szCs w:val="18"/>
              </w:rPr>
              <w:t>具体服务标准为：</w:t>
            </w:r>
          </w:p>
          <w:p>
            <w:pPr>
              <w:widowControl/>
              <w:rPr>
                <w:rFonts w:eastAsia="仿宋"/>
                <w:kern w:val="0"/>
                <w:sz w:val="18"/>
                <w:szCs w:val="18"/>
              </w:rPr>
            </w:pPr>
            <w:r>
              <w:rPr>
                <w:rFonts w:eastAsia="仿宋"/>
                <w:sz w:val="18"/>
                <w:szCs w:val="18"/>
              </w:rPr>
              <w:t>模型交付、推理上线、模型优化或AI解决方案达到双方设定目标</w:t>
            </w:r>
          </w:p>
        </w:tc>
        <w:tc>
          <w:tcPr>
            <w:tcW w:w="828"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元/方案</w:t>
            </w:r>
          </w:p>
        </w:tc>
        <w:tc>
          <w:tcPr>
            <w:tcW w:w="12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
                <w:sz w:val="18"/>
                <w:szCs w:val="18"/>
              </w:rPr>
            </w:pPr>
            <w:r>
              <w:rPr>
                <w:rFonts w:eastAsia="仿宋"/>
                <w:sz w:val="18"/>
                <w:szCs w:val="18"/>
              </w:rPr>
              <w:t>一事一议，5000000起</w:t>
            </w:r>
          </w:p>
        </w:tc>
      </w:tr>
      <w:tr>
        <w:tblPrEx>
          <w:tblCellMar>
            <w:top w:w="0" w:type="dxa"/>
            <w:left w:w="108" w:type="dxa"/>
            <w:bottom w:w="0" w:type="dxa"/>
            <w:right w:w="108" w:type="dxa"/>
          </w:tblCellMar>
        </w:tblPrEx>
        <w:trPr>
          <w:trHeight w:val="621" w:hRule="atLeast"/>
        </w:trPr>
        <w:tc>
          <w:tcPr>
            <w:tcW w:w="927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
                <w:sz w:val="18"/>
                <w:szCs w:val="18"/>
              </w:rPr>
            </w:pPr>
            <w:r>
              <w:rPr>
                <w:rFonts w:eastAsia="仿宋"/>
                <w:sz w:val="18"/>
                <w:szCs w:val="18"/>
              </w:rPr>
              <w:t>备注：原则上每次申报单个项目只允许申请一项华为AI联合创新服务。</w:t>
            </w:r>
          </w:p>
        </w:tc>
      </w:tr>
    </w:tbl>
    <w:p>
      <w:pPr>
        <w:rPr>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auto"/>
    <w:pitch w:val="default"/>
    <w:sig w:usb0="00000000" w:usb1="00000000" w:usb2="00000012"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楷体_GBK">
    <w:altName w:val="微软雅黑"/>
    <w:panose1 w:val="02000000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2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820DB0"/>
    <w:multiLevelType w:val="multilevel"/>
    <w:tmpl w:val="7B820DB0"/>
    <w:lvl w:ilvl="0" w:tentative="0">
      <w:start w:val="1"/>
      <w:numFmt w:val="bullet"/>
      <w:lvlText w:val=""/>
      <w:lvlJc w:val="left"/>
      <w:pPr>
        <w:ind w:left="420" w:hanging="420"/>
      </w:pPr>
      <w:rPr>
        <w:rFonts w:hint="default" w:ascii="Wingdings" w:hAnsi="Wingdings" w:cs="Wingdings"/>
      </w:rPr>
    </w:lvl>
    <w:lvl w:ilvl="1" w:tentative="0">
      <w:start w:val="1"/>
      <w:numFmt w:val="bullet"/>
      <w:lvlText w:val=""/>
      <w:lvlJc w:val="left"/>
      <w:pPr>
        <w:ind w:left="840" w:hanging="420"/>
      </w:pPr>
      <w:rPr>
        <w:rFonts w:hint="default" w:ascii="Wingdings" w:hAnsi="Wingdings" w:cs="Wingdings"/>
      </w:rPr>
    </w:lvl>
    <w:lvl w:ilvl="2" w:tentative="0">
      <w:start w:val="1"/>
      <w:numFmt w:val="bullet"/>
      <w:lvlText w:val=""/>
      <w:lvlJc w:val="left"/>
      <w:pPr>
        <w:ind w:left="1260" w:hanging="420"/>
      </w:pPr>
      <w:rPr>
        <w:rFonts w:hint="default" w:ascii="Wingdings" w:hAnsi="Wingdings" w:cs="Wingdings"/>
      </w:rPr>
    </w:lvl>
    <w:lvl w:ilvl="3" w:tentative="0">
      <w:start w:val="1"/>
      <w:numFmt w:val="bullet"/>
      <w:lvlText w:val=""/>
      <w:lvlJc w:val="left"/>
      <w:pPr>
        <w:ind w:left="1680" w:hanging="420"/>
      </w:pPr>
      <w:rPr>
        <w:rFonts w:hint="default" w:ascii="Wingdings" w:hAnsi="Wingdings" w:cs="Wingdings"/>
      </w:rPr>
    </w:lvl>
    <w:lvl w:ilvl="4" w:tentative="0">
      <w:start w:val="1"/>
      <w:numFmt w:val="bullet"/>
      <w:lvlText w:val=""/>
      <w:lvlJc w:val="left"/>
      <w:pPr>
        <w:ind w:left="2100" w:hanging="420"/>
      </w:pPr>
      <w:rPr>
        <w:rFonts w:hint="default" w:ascii="Wingdings" w:hAnsi="Wingdings" w:cs="Wingdings"/>
      </w:rPr>
    </w:lvl>
    <w:lvl w:ilvl="5" w:tentative="0">
      <w:start w:val="1"/>
      <w:numFmt w:val="bullet"/>
      <w:lvlText w:val=""/>
      <w:lvlJc w:val="left"/>
      <w:pPr>
        <w:ind w:left="2520" w:hanging="420"/>
      </w:pPr>
      <w:rPr>
        <w:rFonts w:hint="default" w:ascii="Wingdings" w:hAnsi="Wingdings" w:cs="Wingdings"/>
      </w:rPr>
    </w:lvl>
    <w:lvl w:ilvl="6" w:tentative="0">
      <w:start w:val="1"/>
      <w:numFmt w:val="bullet"/>
      <w:lvlText w:val=""/>
      <w:lvlJc w:val="left"/>
      <w:pPr>
        <w:ind w:left="2940" w:hanging="420"/>
      </w:pPr>
      <w:rPr>
        <w:rFonts w:hint="default" w:ascii="Wingdings" w:hAnsi="Wingdings" w:cs="Wingdings"/>
      </w:rPr>
    </w:lvl>
    <w:lvl w:ilvl="7" w:tentative="0">
      <w:start w:val="1"/>
      <w:numFmt w:val="bullet"/>
      <w:lvlText w:val=""/>
      <w:lvlJc w:val="left"/>
      <w:pPr>
        <w:ind w:left="3360" w:hanging="420"/>
      </w:pPr>
      <w:rPr>
        <w:rFonts w:hint="default" w:ascii="Wingdings" w:hAnsi="Wingdings" w:cs="Wingdings"/>
      </w:rPr>
    </w:lvl>
    <w:lvl w:ilvl="8" w:tentative="0">
      <w:start w:val="1"/>
      <w:numFmt w:val="bullet"/>
      <w:lvlText w:val=""/>
      <w:lvlJc w:val="left"/>
      <w:pPr>
        <w:ind w:left="3780" w:hanging="420"/>
      </w:pPr>
      <w:rPr>
        <w:rFonts w:hint="default"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B23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semiHidden/>
    <w:unhideWhenUsed/>
    <w:qFormat/>
    <w:uiPriority w:val="0"/>
    <w:pPr>
      <w:ind w:firstLine="420" w:firstLineChars="200"/>
    </w:pPr>
    <w:rPr>
      <w:szCs w:val="21"/>
    </w:rPr>
  </w:style>
  <w:style w:type="paragraph" w:styleId="3">
    <w:name w:val="Normal (Web)"/>
    <w:basedOn w:val="1"/>
    <w:unhideWhenUsed/>
    <w:qFormat/>
    <w:uiPriority w:val="99"/>
    <w:rPr>
      <w:sz w:val="24"/>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2022-03-09T10:21:26Z</dcterms:created>
  <dc:creator>DELL</dc:creator>
  <cp:lastModifiedBy>DELL</cp:lastModifiedBy>
  <dcterms:modified xsi:type="dcterms:W3CDTF">2022-03-09T10:23:54Z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8ADB6F22B5BC4ADC94A0E83DD6AD6B8B</vt:lpwstr>
  </property>
</Properties>
</file>