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2"/>
        </w:tabs>
        <w:spacing w:line="460" w:lineRule="exact"/>
        <w:rPr>
          <w:rFonts w:ascii="仿宋" w:hAnsi="仿宋" w:eastAsia="仿宋"/>
          <w:sz w:val="32"/>
          <w:szCs w:val="32"/>
        </w:rPr>
      </w:pPr>
      <w:bookmarkStart w:id="0" w:name="_GoBack"/>
      <w:bookmarkEnd w:id="0"/>
      <w:r>
        <w:rPr>
          <w:rFonts w:hint="eastAsia" w:ascii="仿宋" w:hAnsi="仿宋" w:eastAsia="仿宋"/>
          <w:sz w:val="32"/>
          <w:szCs w:val="32"/>
        </w:rPr>
        <w:t>移动云服务内容</w:t>
      </w:r>
    </w:p>
    <w:tbl>
      <w:tblPr>
        <w:tblStyle w:val="11"/>
        <w:tblpPr w:leftFromText="180" w:rightFromText="180" w:vertAnchor="text" w:horzAnchor="page" w:tblpX="1621" w:tblpY="896"/>
        <w:tblOverlap w:val="never"/>
        <w:tblW w:w="8743" w:type="dxa"/>
        <w:tblInd w:w="0" w:type="dxa"/>
        <w:tblLayout w:type="fixed"/>
        <w:tblCellMar>
          <w:top w:w="0" w:type="dxa"/>
          <w:left w:w="0" w:type="dxa"/>
          <w:bottom w:w="0" w:type="dxa"/>
          <w:right w:w="0" w:type="dxa"/>
        </w:tblCellMar>
      </w:tblPr>
      <w:tblGrid>
        <w:gridCol w:w="931"/>
        <w:gridCol w:w="2868"/>
        <w:gridCol w:w="2688"/>
        <w:gridCol w:w="2256"/>
      </w:tblGrid>
      <w:tr>
        <w:tblPrEx>
          <w:tblCellMar>
            <w:top w:w="0" w:type="dxa"/>
            <w:left w:w="0" w:type="dxa"/>
            <w:bottom w:w="0" w:type="dxa"/>
            <w:right w:w="0" w:type="dxa"/>
          </w:tblCellMar>
        </w:tblPrEx>
        <w:trPr>
          <w:trHeight w:val="300" w:hRule="atLeast"/>
        </w:trPr>
        <w:tc>
          <w:tcPr>
            <w:tcW w:w="931"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tabs>
                <w:tab w:val="left" w:pos="2887"/>
              </w:tabs>
              <w:jc w:val="left"/>
              <w:rPr>
                <w:rFonts w:ascii="仿宋" w:hAnsi="仿宋" w:eastAsia="仿宋" w:cstheme="minorEastAsia"/>
                <w:color w:val="000000"/>
                <w:szCs w:val="21"/>
              </w:rPr>
            </w:pPr>
            <w:r>
              <w:rPr>
                <w:rFonts w:hint="eastAsia" w:ascii="仿宋" w:hAnsi="仿宋" w:eastAsia="仿宋"/>
                <w:szCs w:val="21"/>
              </w:rPr>
              <w:t>产品名称</w:t>
            </w:r>
            <w:r>
              <w:rPr>
                <w:rFonts w:hint="eastAsia" w:ascii="仿宋" w:hAnsi="仿宋" w:eastAsia="仿宋"/>
                <w:szCs w:val="21"/>
              </w:rPr>
              <w:tab/>
            </w:r>
            <w:r>
              <w:rPr>
                <w:rFonts w:hint="eastAsia" w:ascii="仿宋" w:hAnsi="仿宋" w:eastAsia="仿宋" w:cstheme="minorEastAsia"/>
                <w:color w:val="000000"/>
                <w:kern w:val="0"/>
                <w:szCs w:val="21"/>
              </w:rPr>
              <w:t>称</w:t>
            </w:r>
          </w:p>
        </w:tc>
        <w:tc>
          <w:tcPr>
            <w:tcW w:w="286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产品功能介绍</w:t>
            </w:r>
          </w:p>
        </w:tc>
        <w:tc>
          <w:tcPr>
            <w:tcW w:w="2688"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优惠政策</w:t>
            </w:r>
          </w:p>
        </w:tc>
        <w:tc>
          <w:tcPr>
            <w:tcW w:w="225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更多产品</w:t>
            </w:r>
          </w:p>
        </w:tc>
      </w:tr>
      <w:tr>
        <w:tblPrEx>
          <w:tblCellMar>
            <w:top w:w="0" w:type="dxa"/>
            <w:left w:w="0" w:type="dxa"/>
            <w:bottom w:w="0" w:type="dxa"/>
            <w:right w:w="0" w:type="dxa"/>
          </w:tblCellMar>
        </w:tblPrEx>
        <w:trPr>
          <w:trHeight w:val="1248" w:hRule="atLeast"/>
        </w:trPr>
        <w:tc>
          <w:tcPr>
            <w:tcW w:w="931"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云主机</w:t>
            </w:r>
          </w:p>
        </w:tc>
        <w:tc>
          <w:tcPr>
            <w:tcW w:w="286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通过虚拟化技术整合IT资源，为用户提供可按需使用的计算资源服务，帮助用户更为快速和灵活的构建应用。用户可以根据需求选择不同的CPU、内存、操作系统、存储和网络规格。</w:t>
            </w:r>
          </w:p>
        </w:tc>
        <w:tc>
          <w:tcPr>
            <w:tcW w:w="268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产品：配置不限，可按需使用</w:t>
            </w:r>
          </w:p>
          <w:p>
            <w:pPr>
              <w:widowControl/>
              <w:jc w:val="left"/>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优惠政策：免费体验3个月。</w:t>
            </w:r>
          </w:p>
        </w:tc>
        <w:tc>
          <w:tcPr>
            <w:tcW w:w="22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kern w:val="0"/>
                <w:szCs w:val="21"/>
                <w:u w:val="single"/>
              </w:rPr>
            </w:pPr>
            <w:r>
              <w:rPr>
                <w:rFonts w:hint="eastAsia" w:ascii="仿宋" w:hAnsi="仿宋" w:eastAsia="仿宋" w:cstheme="minorEastAsia"/>
                <w:kern w:val="0"/>
                <w:szCs w:val="21"/>
                <w:u w:val="single"/>
              </w:rPr>
              <w:t>移动云官网：</w:t>
            </w:r>
          </w:p>
          <w:p>
            <w:pPr>
              <w:widowControl/>
              <w:jc w:val="center"/>
              <w:textAlignment w:val="center"/>
              <w:rPr>
                <w:rFonts w:ascii="仿宋" w:hAnsi="仿宋" w:eastAsia="仿宋" w:cstheme="minorEastAsia"/>
                <w:kern w:val="0"/>
                <w:szCs w:val="21"/>
                <w:u w:val="single"/>
              </w:rPr>
            </w:pPr>
            <w:r>
              <w:fldChar w:fldCharType="begin"/>
            </w:r>
            <w:r>
              <w:instrText xml:space="preserve"> HYPERLINK "https://ecloud.10086.cn/" </w:instrText>
            </w:r>
            <w:r>
              <w:fldChar w:fldCharType="separate"/>
            </w:r>
            <w:r>
              <w:rPr>
                <w:rStyle w:val="13"/>
              </w:rPr>
              <w:t>https://ecloud.10086.cn/</w:t>
            </w:r>
            <w:r>
              <w:rPr>
                <w:rStyle w:val="13"/>
              </w:rPr>
              <w:fldChar w:fldCharType="end"/>
            </w:r>
          </w:p>
          <w:p>
            <w:pPr>
              <w:widowControl/>
              <w:jc w:val="center"/>
              <w:textAlignment w:val="center"/>
              <w:rPr>
                <w:rFonts w:ascii="仿宋" w:hAnsi="仿宋" w:eastAsia="仿宋" w:cstheme="minorEastAsia"/>
                <w:kern w:val="0"/>
                <w:szCs w:val="21"/>
                <w:u w:val="single"/>
              </w:rPr>
            </w:pPr>
          </w:p>
          <w:p>
            <w:pPr>
              <w:widowControl/>
              <w:jc w:val="center"/>
              <w:textAlignment w:val="center"/>
              <w:rPr>
                <w:rFonts w:ascii="仿宋" w:hAnsi="仿宋" w:eastAsia="仿宋" w:cstheme="minorEastAsia"/>
                <w:kern w:val="0"/>
                <w:szCs w:val="21"/>
                <w:u w:val="single"/>
              </w:rPr>
            </w:pPr>
          </w:p>
          <w:p>
            <w:pPr>
              <w:widowControl/>
              <w:jc w:val="left"/>
              <w:textAlignment w:val="center"/>
              <w:rPr>
                <w:rFonts w:ascii="仿宋" w:hAnsi="仿宋" w:eastAsia="仿宋" w:cstheme="minorEastAsia"/>
                <w:kern w:val="0"/>
                <w:szCs w:val="21"/>
                <w:u w:val="single"/>
              </w:rPr>
            </w:pPr>
            <w:r>
              <w:rPr>
                <w:rFonts w:hint="eastAsia" w:ascii="仿宋" w:hAnsi="仿宋" w:eastAsia="仿宋" w:cstheme="minorEastAsia"/>
                <w:kern w:val="0"/>
                <w:szCs w:val="21"/>
                <w:u w:val="single"/>
              </w:rPr>
              <w:t>2、网上专区：</w:t>
            </w:r>
          </w:p>
          <w:p>
            <w:pPr>
              <w:widowControl/>
              <w:jc w:val="center"/>
              <w:textAlignment w:val="center"/>
              <w:rPr>
                <w:rFonts w:ascii="仿宋" w:hAnsi="仿宋" w:eastAsia="仿宋" w:cstheme="minorEastAsia"/>
                <w:kern w:val="0"/>
                <w:szCs w:val="21"/>
                <w:u w:val="single"/>
              </w:rPr>
            </w:pPr>
            <w:r>
              <w:rPr>
                <w:rFonts w:ascii="仿宋" w:hAnsi="仿宋" w:eastAsia="仿宋" w:cstheme="minorEastAsia"/>
                <w:kern w:val="0"/>
                <w:szCs w:val="21"/>
                <w:u w:val="single"/>
              </w:rPr>
              <w:t>https://saas.ecloud.10086.cn/Nm/default.html?fromtype=ad&amp;adId=1031</w:t>
            </w:r>
          </w:p>
          <w:p>
            <w:pPr>
              <w:widowControl/>
              <w:jc w:val="center"/>
              <w:textAlignment w:val="center"/>
              <w:rPr>
                <w:rFonts w:ascii="仿宋" w:hAnsi="仿宋" w:eastAsia="仿宋" w:cstheme="minorEastAsia"/>
                <w:color w:val="0000FF"/>
                <w:szCs w:val="21"/>
                <w:u w:val="single"/>
              </w:rPr>
            </w:pPr>
          </w:p>
        </w:tc>
      </w:tr>
      <w:tr>
        <w:tblPrEx>
          <w:tblCellMar>
            <w:top w:w="0" w:type="dxa"/>
            <w:left w:w="0" w:type="dxa"/>
            <w:bottom w:w="0" w:type="dxa"/>
            <w:right w:w="0" w:type="dxa"/>
          </w:tblCellMar>
        </w:tblPrEx>
        <w:trPr>
          <w:trHeight w:val="936" w:hRule="atLeast"/>
        </w:trPr>
        <w:tc>
          <w:tcPr>
            <w:tcW w:w="9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35云OA</w:t>
            </w:r>
          </w:p>
          <w:p>
            <w:pPr>
              <w:widowControl/>
              <w:jc w:val="center"/>
              <w:textAlignment w:val="center"/>
              <w:rPr>
                <w:rFonts w:ascii="仿宋" w:hAnsi="仿宋" w:eastAsia="仿宋" w:cstheme="minorEastAsia"/>
                <w:color w:val="000000"/>
                <w:kern w:val="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35云OA系统是以计算机网络技术为基础，以数据共享为中心，综合运用B/S架构技术、即时通讯技术、INTERNET技术，重点实现以丰富强大的消息管理、即时通讯、远程办公、短信留言办公等技术方式来强化公司管理的规范化，流程化。</w:t>
            </w:r>
          </w:p>
          <w:p>
            <w:pPr>
              <w:widowControl/>
              <w:jc w:val="center"/>
              <w:textAlignment w:val="center"/>
              <w:rPr>
                <w:rFonts w:ascii="仿宋" w:hAnsi="仿宋" w:eastAsia="仿宋" w:cstheme="minorEastAsia"/>
                <w:color w:val="000000"/>
                <w:kern w:val="0"/>
                <w:szCs w:val="21"/>
              </w:rPr>
            </w:pPr>
          </w:p>
        </w:tc>
        <w:tc>
          <w:tcPr>
            <w:tcW w:w="26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优惠政策：免费体验3个月</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仿宋" w:hAnsi="仿宋" w:eastAsia="仿宋" w:cstheme="minorEastAsia"/>
                <w:color w:val="0000FF"/>
                <w:szCs w:val="21"/>
                <w:u w:val="single"/>
              </w:rPr>
            </w:pPr>
          </w:p>
        </w:tc>
      </w:tr>
      <w:tr>
        <w:tblPrEx>
          <w:tblCellMar>
            <w:top w:w="0" w:type="dxa"/>
            <w:left w:w="0" w:type="dxa"/>
            <w:bottom w:w="0" w:type="dxa"/>
            <w:right w:w="0" w:type="dxa"/>
          </w:tblCellMar>
        </w:tblPrEx>
        <w:trPr>
          <w:trHeight w:val="1620" w:hRule="atLeast"/>
        </w:trPr>
        <w:tc>
          <w:tcPr>
            <w:tcW w:w="9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云空间</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云空间是中国移动推出的面向企业级用户的云应用产品，在解决企业员工文件存储需求之外，还支持文件共享、文件多版本、后台管理等功能，可以更好的保护企业数据的私密性，并方便企业的文档协作管理。</w:t>
            </w:r>
          </w:p>
        </w:tc>
        <w:tc>
          <w:tcPr>
            <w:tcW w:w="268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br w:type="textWrapping"/>
            </w:r>
            <w:r>
              <w:rPr>
                <w:rFonts w:hint="eastAsia" w:ascii="仿宋" w:hAnsi="仿宋" w:eastAsia="仿宋" w:cstheme="minorEastAsia"/>
                <w:color w:val="000000"/>
                <w:kern w:val="0"/>
                <w:szCs w:val="21"/>
              </w:rPr>
              <w:t>优惠政策：免费体验3个月</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仿宋" w:hAnsi="仿宋" w:eastAsia="仿宋" w:cstheme="minorEastAsia"/>
                <w:color w:val="0000FF"/>
                <w:szCs w:val="21"/>
                <w:u w:val="single"/>
              </w:rPr>
            </w:pPr>
          </w:p>
        </w:tc>
      </w:tr>
      <w:tr>
        <w:tblPrEx>
          <w:tblCellMar>
            <w:top w:w="0" w:type="dxa"/>
            <w:left w:w="0" w:type="dxa"/>
            <w:bottom w:w="0" w:type="dxa"/>
            <w:right w:w="0" w:type="dxa"/>
          </w:tblCellMar>
        </w:tblPrEx>
        <w:trPr>
          <w:trHeight w:val="1560" w:hRule="atLeast"/>
        </w:trPr>
        <w:tc>
          <w:tcPr>
            <w:tcW w:w="93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小步外勤</w:t>
            </w:r>
          </w:p>
        </w:tc>
        <w:tc>
          <w:tcPr>
            <w:tcW w:w="286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小步外勤是最简单有效的外勤、销售管理软件，是中国SAAS领域的领先品牌。企业的外勤人员可通过小步外勤完成现场的信息和数据采集、反馈等工作。根据小步外勤自动生成的数据分析，企业的管理层可以更好地对业务员的日常工作内容和工作行为进行监管。</w:t>
            </w:r>
          </w:p>
        </w:tc>
        <w:tc>
          <w:tcPr>
            <w:tcW w:w="268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优惠政策：免费体验3个月</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仿宋" w:hAnsi="仿宋" w:eastAsia="仿宋" w:cstheme="minorEastAsia"/>
                <w:color w:val="0000FF"/>
                <w:szCs w:val="21"/>
                <w:u w:val="single"/>
              </w:rPr>
            </w:pPr>
          </w:p>
        </w:tc>
      </w:tr>
      <w:tr>
        <w:tblPrEx>
          <w:tblCellMar>
            <w:top w:w="0" w:type="dxa"/>
            <w:left w:w="0" w:type="dxa"/>
            <w:bottom w:w="0" w:type="dxa"/>
            <w:right w:w="0" w:type="dxa"/>
          </w:tblCellMar>
        </w:tblPrEx>
        <w:trPr>
          <w:trHeight w:val="1932" w:hRule="atLeast"/>
        </w:trPr>
        <w:tc>
          <w:tcPr>
            <w:tcW w:w="93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和彩云(云启空间）</w:t>
            </w:r>
          </w:p>
          <w:p>
            <w:pPr>
              <w:widowControl/>
              <w:jc w:val="center"/>
              <w:textAlignment w:val="center"/>
              <w:rPr>
                <w:rFonts w:ascii="仿宋" w:hAnsi="仿宋" w:eastAsia="仿宋" w:cstheme="minorEastAsia"/>
                <w:color w:val="000000"/>
                <w:kern w:val="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和彩云是中国移动旗下的个人云存储产品，为用户提供安全、便捷、高效的云存储服务。用户可以通过手机、电脑等不同终端将照片、视频、办公文件等重要文件上传备份到和彩云，支持多终端数据同步，可以随时随地对文件进行查看、管理、好友共享等操作。</w:t>
            </w:r>
          </w:p>
        </w:tc>
        <w:tc>
          <w:tcPr>
            <w:tcW w:w="268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优惠政策：免费体验3个月</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仿宋" w:hAnsi="仿宋" w:eastAsia="仿宋" w:cstheme="minorEastAsia"/>
                <w:color w:val="0000FF"/>
                <w:szCs w:val="21"/>
                <w:u w:val="single"/>
              </w:rPr>
            </w:pPr>
          </w:p>
        </w:tc>
      </w:tr>
      <w:tr>
        <w:tblPrEx>
          <w:tblCellMar>
            <w:top w:w="0" w:type="dxa"/>
            <w:left w:w="0" w:type="dxa"/>
            <w:bottom w:w="0" w:type="dxa"/>
            <w:right w:w="0" w:type="dxa"/>
          </w:tblCellMar>
        </w:tblPrEx>
        <w:trPr>
          <w:trHeight w:val="1872" w:hRule="atLeast"/>
        </w:trPr>
        <w:tc>
          <w:tcPr>
            <w:tcW w:w="93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智能名片</w:t>
            </w:r>
          </w:p>
          <w:p>
            <w:pPr>
              <w:widowControl/>
              <w:jc w:val="center"/>
              <w:textAlignment w:val="center"/>
              <w:rPr>
                <w:rFonts w:ascii="仿宋" w:hAnsi="仿宋" w:eastAsia="仿宋" w:cstheme="minorEastAsia"/>
                <w:color w:val="000000"/>
                <w:kern w:val="0"/>
                <w:szCs w:val="21"/>
              </w:rPr>
            </w:pPr>
          </w:p>
        </w:tc>
        <w:tc>
          <w:tcPr>
            <w:tcW w:w="286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不接触，防传染，告别纸质名片 在家办公，轻松获客，社交裂变传播，实时监控活动效果 不用见面，实时追踪客户行为轨迹，智能挖掘销售社交圈的精准客户，标签化智能管理</w:t>
            </w:r>
          </w:p>
        </w:tc>
        <w:tc>
          <w:tcPr>
            <w:tcW w:w="26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优惠政策：免费体验3个月</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仿宋" w:hAnsi="仿宋" w:eastAsia="仿宋" w:cstheme="minorEastAsia"/>
                <w:color w:val="0000FF"/>
                <w:szCs w:val="21"/>
                <w:u w:val="single"/>
              </w:rPr>
            </w:pPr>
          </w:p>
        </w:tc>
      </w:tr>
      <w:tr>
        <w:tblPrEx>
          <w:tblCellMar>
            <w:top w:w="0" w:type="dxa"/>
            <w:left w:w="0" w:type="dxa"/>
            <w:bottom w:w="0" w:type="dxa"/>
            <w:right w:w="0" w:type="dxa"/>
          </w:tblCellMar>
        </w:tblPrEx>
        <w:trPr>
          <w:trHeight w:val="2496" w:hRule="atLeast"/>
        </w:trPr>
        <w:tc>
          <w:tcPr>
            <w:tcW w:w="9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速成建站</w:t>
            </w:r>
          </w:p>
          <w:p>
            <w:pPr>
              <w:widowControl/>
              <w:jc w:val="center"/>
              <w:textAlignment w:val="center"/>
              <w:rPr>
                <w:rFonts w:ascii="仿宋" w:hAnsi="仿宋" w:eastAsia="仿宋" w:cstheme="minorEastAsia"/>
                <w:color w:val="000000"/>
                <w:kern w:val="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模版任意选择、海量功能控件、不懂技术也可建站 响应式速成建站，让您的企业快人一步</w:t>
            </w:r>
          </w:p>
        </w:tc>
        <w:tc>
          <w:tcPr>
            <w:tcW w:w="26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优惠政策：免费体验3个月</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仿宋" w:hAnsi="仿宋" w:eastAsia="仿宋" w:cstheme="minorEastAsia"/>
                <w:color w:val="0000FF"/>
                <w:szCs w:val="21"/>
                <w:u w:val="single"/>
              </w:rPr>
            </w:pPr>
          </w:p>
        </w:tc>
      </w:tr>
      <w:tr>
        <w:tblPrEx>
          <w:tblCellMar>
            <w:top w:w="0" w:type="dxa"/>
            <w:left w:w="0" w:type="dxa"/>
            <w:bottom w:w="0" w:type="dxa"/>
            <w:right w:w="0" w:type="dxa"/>
          </w:tblCellMar>
        </w:tblPrEx>
        <w:trPr>
          <w:trHeight w:val="1872" w:hRule="atLeast"/>
        </w:trPr>
        <w:tc>
          <w:tcPr>
            <w:tcW w:w="9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舆情秘书</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heme="minorEastAsia"/>
                <w:color w:val="000000"/>
                <w:kern w:val="0"/>
                <w:szCs w:val="21"/>
              </w:rPr>
            </w:pPr>
            <w:r>
              <w:rPr>
                <w:rFonts w:hint="eastAsia" w:ascii="仿宋" w:hAnsi="仿宋" w:eastAsia="仿宋" w:cstheme="minorEastAsia"/>
                <w:color w:val="000000"/>
                <w:kern w:val="0"/>
                <w:szCs w:val="21"/>
              </w:rPr>
              <w:t>随时随地掌控舆情。 秒现舆情，追踪事态，智能报告。</w:t>
            </w:r>
          </w:p>
        </w:tc>
        <w:tc>
          <w:tcPr>
            <w:tcW w:w="26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 w:hAnsi="仿宋" w:eastAsia="仿宋" w:cstheme="minorEastAsia"/>
                <w:color w:val="000000"/>
                <w:szCs w:val="21"/>
              </w:rPr>
            </w:pPr>
            <w:r>
              <w:rPr>
                <w:rFonts w:hint="eastAsia" w:ascii="仿宋" w:hAnsi="仿宋" w:eastAsia="仿宋" w:cstheme="minorEastAsia"/>
                <w:color w:val="000000"/>
                <w:kern w:val="0"/>
                <w:szCs w:val="21"/>
              </w:rPr>
              <w:t>优惠政策：免费体验3个月</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仿宋" w:hAnsi="仿宋" w:eastAsia="仿宋" w:cstheme="minorEastAsia"/>
                <w:color w:val="0000FF"/>
                <w:szCs w:val="21"/>
                <w:u w:val="single"/>
              </w:rPr>
            </w:pPr>
          </w:p>
        </w:tc>
      </w:tr>
    </w:tbl>
    <w:p/>
    <w:p/>
    <w:p/>
    <w:p/>
    <w:p>
      <w:pPr>
        <w:tabs>
          <w:tab w:val="left" w:pos="312"/>
        </w:tabs>
        <w:spacing w:line="460" w:lineRule="exact"/>
        <w:rPr>
          <w:rFonts w:ascii="仿宋" w:hAnsi="仿宋" w:eastAsia="仿宋"/>
          <w:sz w:val="32"/>
          <w:szCs w:val="32"/>
        </w:rPr>
      </w:pPr>
      <w:r>
        <w:rPr>
          <w:rFonts w:hint="eastAsia" w:ascii="仿宋" w:hAnsi="仿宋" w:eastAsia="仿宋"/>
          <w:sz w:val="32"/>
          <w:szCs w:val="32"/>
        </w:rPr>
        <w:t>如需免费使用，请联系移动专属客户经理李锦丽，13977238080</w:t>
      </w:r>
    </w:p>
    <w:p/>
    <w:p/>
    <w:p/>
    <w:p/>
    <w:p/>
    <w:p/>
    <w:p/>
    <w:p/>
    <w:p/>
    <w:p/>
    <w:p>
      <w:pPr>
        <w:rPr>
          <w:rFonts w:hint="eastAsia" w:ascii="仿宋" w:hAnsi="仿宋" w:eastAsia="仿宋"/>
        </w:rPr>
      </w:pPr>
    </w:p>
    <w:p>
      <w:pPr>
        <w:rPr>
          <w:rFonts w:ascii="仿宋" w:hAnsi="仿宋" w:eastAsia="仿宋"/>
          <w:szCs w:val="21"/>
        </w:rPr>
      </w:pPr>
    </w:p>
    <w:tbl>
      <w:tblPr>
        <w:tblStyle w:val="11"/>
        <w:tblW w:w="9060" w:type="dxa"/>
        <w:tblInd w:w="0" w:type="dxa"/>
        <w:tblLayout w:type="autofit"/>
        <w:tblCellMar>
          <w:top w:w="0" w:type="dxa"/>
          <w:left w:w="0" w:type="dxa"/>
          <w:bottom w:w="0" w:type="dxa"/>
          <w:right w:w="0" w:type="dxa"/>
        </w:tblCellMar>
      </w:tblPr>
      <w:tblGrid>
        <w:gridCol w:w="2039"/>
        <w:gridCol w:w="2777"/>
        <w:gridCol w:w="4244"/>
      </w:tblGrid>
      <w:tr>
        <w:tblPrEx>
          <w:tblCellMar>
            <w:top w:w="0" w:type="dxa"/>
            <w:left w:w="0" w:type="dxa"/>
            <w:bottom w:w="0" w:type="dxa"/>
            <w:right w:w="0" w:type="dxa"/>
          </w:tblCellMar>
        </w:tblPrEx>
        <w:trPr>
          <w:trHeight w:val="363" w:hRule="atLeast"/>
        </w:trPr>
        <w:tc>
          <w:tcPr>
            <w:tcW w:w="9060" w:type="dxa"/>
            <w:gridSpan w:val="3"/>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宽带、固话优惠</w:t>
            </w:r>
          </w:p>
        </w:tc>
      </w:tr>
      <w:tr>
        <w:tblPrEx>
          <w:tblCellMar>
            <w:top w:w="0" w:type="dxa"/>
            <w:left w:w="0" w:type="dxa"/>
            <w:bottom w:w="0" w:type="dxa"/>
            <w:right w:w="0" w:type="dxa"/>
          </w:tblCellMar>
        </w:tblPrEx>
        <w:trPr>
          <w:trHeight w:val="477" w:hRule="atLeast"/>
        </w:trPr>
        <w:tc>
          <w:tcPr>
            <w:tcW w:w="203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资费</w:t>
            </w:r>
          </w:p>
        </w:tc>
        <w:tc>
          <w:tcPr>
            <w:tcW w:w="7021"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每台固定电话对应服务内容</w:t>
            </w:r>
          </w:p>
        </w:tc>
      </w:tr>
      <w:tr>
        <w:tblPrEx>
          <w:tblCellMar>
            <w:top w:w="0" w:type="dxa"/>
            <w:left w:w="0" w:type="dxa"/>
            <w:bottom w:w="0" w:type="dxa"/>
            <w:right w:w="0" w:type="dxa"/>
          </w:tblCellMar>
        </w:tblPrEx>
        <w:trPr>
          <w:trHeight w:val="729" w:hRule="atLeast"/>
        </w:trPr>
        <w:tc>
          <w:tcPr>
            <w:tcW w:w="203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35元/月/台固话</w:t>
            </w:r>
          </w:p>
        </w:tc>
        <w:tc>
          <w:tcPr>
            <w:tcW w:w="2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一条100M办公宽带</w:t>
            </w:r>
          </w:p>
        </w:tc>
        <w:tc>
          <w:tcPr>
            <w:tcW w:w="42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固话2000分钟网内通话时长</w:t>
            </w:r>
          </w:p>
        </w:tc>
      </w:tr>
      <w:tr>
        <w:tblPrEx>
          <w:tblCellMar>
            <w:top w:w="0" w:type="dxa"/>
            <w:left w:w="0" w:type="dxa"/>
            <w:bottom w:w="0" w:type="dxa"/>
            <w:right w:w="0" w:type="dxa"/>
          </w:tblCellMar>
        </w:tblPrEx>
        <w:trPr>
          <w:trHeight w:val="729" w:hRule="atLeast"/>
        </w:trPr>
        <w:tc>
          <w:tcPr>
            <w:tcW w:w="203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50元/月/台固话</w:t>
            </w:r>
          </w:p>
        </w:tc>
        <w:tc>
          <w:tcPr>
            <w:tcW w:w="2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一条200M办公宽带</w:t>
            </w:r>
          </w:p>
        </w:tc>
        <w:tc>
          <w:tcPr>
            <w:tcW w:w="42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固话2000分钟网内通话时长</w:t>
            </w:r>
          </w:p>
        </w:tc>
      </w:tr>
      <w:tr>
        <w:tblPrEx>
          <w:tblCellMar>
            <w:top w:w="0" w:type="dxa"/>
            <w:left w:w="0" w:type="dxa"/>
            <w:bottom w:w="0" w:type="dxa"/>
            <w:right w:w="0" w:type="dxa"/>
          </w:tblCellMar>
        </w:tblPrEx>
        <w:trPr>
          <w:trHeight w:val="729" w:hRule="atLeast"/>
        </w:trPr>
        <w:tc>
          <w:tcPr>
            <w:tcW w:w="203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40元/月/台固话</w:t>
            </w:r>
          </w:p>
        </w:tc>
        <w:tc>
          <w:tcPr>
            <w:tcW w:w="2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一条50M办公宽带+企业互联网电视+WIFI</w:t>
            </w:r>
          </w:p>
        </w:tc>
        <w:tc>
          <w:tcPr>
            <w:tcW w:w="42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固话2000分钟网内通话时长</w:t>
            </w:r>
          </w:p>
        </w:tc>
      </w:tr>
      <w:tr>
        <w:tblPrEx>
          <w:tblCellMar>
            <w:top w:w="0" w:type="dxa"/>
            <w:left w:w="0" w:type="dxa"/>
            <w:bottom w:w="0" w:type="dxa"/>
            <w:right w:w="0" w:type="dxa"/>
          </w:tblCellMar>
        </w:tblPrEx>
        <w:trPr>
          <w:trHeight w:val="749" w:hRule="atLeast"/>
        </w:trPr>
        <w:tc>
          <w:tcPr>
            <w:tcW w:w="203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45元/月/台固话</w:t>
            </w:r>
          </w:p>
        </w:tc>
        <w:tc>
          <w:tcPr>
            <w:tcW w:w="2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一条100M办公宽带+企业互联网电视+WIFI</w:t>
            </w:r>
          </w:p>
        </w:tc>
        <w:tc>
          <w:tcPr>
            <w:tcW w:w="42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仿宋" w:hAnsi="仿宋" w:eastAsia="仿宋" w:cs="仿宋"/>
                <w:color w:val="000000"/>
                <w:szCs w:val="21"/>
              </w:rPr>
            </w:pPr>
          </w:p>
        </w:tc>
      </w:tr>
    </w:tbl>
    <w:p>
      <w:pPr>
        <w:rPr>
          <w:rFonts w:ascii="仿宋" w:hAnsi="仿宋" w:eastAsia="仿宋"/>
          <w:szCs w:val="21"/>
        </w:rPr>
      </w:pPr>
    </w:p>
    <w:p/>
    <w:p>
      <w:pPr>
        <w:tabs>
          <w:tab w:val="left" w:pos="312"/>
        </w:tabs>
        <w:spacing w:line="460" w:lineRule="exact"/>
        <w:rPr>
          <w:rFonts w:hint="eastAsia" w:ascii="仿宋" w:hAnsi="仿宋" w:eastAsia="仿宋"/>
          <w:sz w:val="32"/>
          <w:szCs w:val="32"/>
        </w:rPr>
      </w:pPr>
      <w:r>
        <w:rPr>
          <w:rFonts w:hint="eastAsia" w:ascii="仿宋" w:hAnsi="仿宋" w:eastAsia="仿宋"/>
          <w:sz w:val="32"/>
          <w:szCs w:val="32"/>
        </w:rPr>
        <w:t>如需对宽带、监控、固定电话、视频监控等信息化产品有需求，欢迎来电咨询了解更加优惠的政策与资费。移动专属客户经理梁滨，13978054666</w:t>
      </w:r>
    </w:p>
    <w:p>
      <w:pPr>
        <w:tabs>
          <w:tab w:val="left" w:pos="312"/>
        </w:tabs>
        <w:spacing w:line="460" w:lineRule="exact"/>
        <w:rPr>
          <w:rFonts w:hint="eastAsia" w:ascii="仿宋" w:hAnsi="仿宋" w:eastAsia="仿宋"/>
          <w:sz w:val="32"/>
          <w:szCs w:val="32"/>
        </w:rPr>
      </w:pPr>
    </w:p>
    <w:p>
      <w:pPr>
        <w:tabs>
          <w:tab w:val="left" w:pos="312"/>
        </w:tabs>
        <w:spacing w:line="46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28"/>
    <w:rsid w:val="00030D66"/>
    <w:rsid w:val="000637C4"/>
    <w:rsid w:val="000D3CE9"/>
    <w:rsid w:val="00110067"/>
    <w:rsid w:val="00152BB7"/>
    <w:rsid w:val="002721BE"/>
    <w:rsid w:val="002E6C7C"/>
    <w:rsid w:val="00350328"/>
    <w:rsid w:val="003D5BD9"/>
    <w:rsid w:val="00561DCD"/>
    <w:rsid w:val="00591C35"/>
    <w:rsid w:val="00600378"/>
    <w:rsid w:val="00757EF3"/>
    <w:rsid w:val="0076037C"/>
    <w:rsid w:val="007740E3"/>
    <w:rsid w:val="00804DDB"/>
    <w:rsid w:val="00820429"/>
    <w:rsid w:val="008909E9"/>
    <w:rsid w:val="009B090E"/>
    <w:rsid w:val="00A720E7"/>
    <w:rsid w:val="00A86C1E"/>
    <w:rsid w:val="00A86C21"/>
    <w:rsid w:val="00A93652"/>
    <w:rsid w:val="00AE5F64"/>
    <w:rsid w:val="00B71DC6"/>
    <w:rsid w:val="00BA19BF"/>
    <w:rsid w:val="00BD3EE5"/>
    <w:rsid w:val="00C02167"/>
    <w:rsid w:val="00D0042A"/>
    <w:rsid w:val="00E3795F"/>
    <w:rsid w:val="00E613B6"/>
    <w:rsid w:val="00E618A0"/>
    <w:rsid w:val="00FB66E5"/>
    <w:rsid w:val="266E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
      <w:b/>
      <w:bCs/>
      <w:kern w:val="44"/>
      <w:sz w:val="32"/>
      <w:szCs w:val="44"/>
    </w:rPr>
  </w:style>
  <w:style w:type="paragraph" w:styleId="3">
    <w:name w:val="heading 2"/>
    <w:basedOn w:val="1"/>
    <w:next w:val="1"/>
    <w:link w:val="16"/>
    <w:unhideWhenUsed/>
    <w:qFormat/>
    <w:uiPriority w:val="9"/>
    <w:pPr>
      <w:keepNext/>
      <w:keepLines/>
      <w:spacing w:before="260" w:after="260" w:line="416" w:lineRule="auto"/>
      <w:outlineLvl w:val="1"/>
    </w:pPr>
    <w:rPr>
      <w:rFonts w:eastAsia="仿宋" w:asciiTheme="majorHAnsi" w:hAnsiTheme="majorHAnsi" w:cstheme="majorBidi"/>
      <w:b/>
      <w:bCs/>
      <w:sz w:val="28"/>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sz w:val="18"/>
      <w:szCs w:val="18"/>
    </w:rPr>
  </w:style>
  <w:style w:type="paragraph" w:styleId="6">
    <w:name w:val="footer"/>
    <w:basedOn w:val="1"/>
    <w:link w:val="19"/>
    <w:semiHidden/>
    <w:unhideWhenUsed/>
    <w:uiPriority w:val="99"/>
    <w:pPr>
      <w:tabs>
        <w:tab w:val="center" w:pos="4153"/>
        <w:tab w:val="right" w:pos="8306"/>
      </w:tabs>
      <w:snapToGrid w:val="0"/>
      <w:jc w:val="left"/>
    </w:pPr>
    <w:rPr>
      <w:sz w:val="18"/>
      <w:szCs w:val="18"/>
    </w:rPr>
  </w:style>
  <w:style w:type="paragraph" w:styleId="7">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qFormat/>
    <w:uiPriority w:val="99"/>
    <w:rPr>
      <w:color w:val="333333"/>
      <w:u w:val="none"/>
    </w:rPr>
  </w:style>
  <w:style w:type="character" w:customStyle="1" w:styleId="14">
    <w:name w:val="批注框文本 Char"/>
    <w:basedOn w:val="12"/>
    <w:link w:val="5"/>
    <w:semiHidden/>
    <w:qFormat/>
    <w:uiPriority w:val="99"/>
    <w:rPr>
      <w:sz w:val="18"/>
      <w:szCs w:val="18"/>
    </w:rPr>
  </w:style>
  <w:style w:type="character" w:customStyle="1" w:styleId="15">
    <w:name w:val="标题 1 Char"/>
    <w:basedOn w:val="12"/>
    <w:link w:val="2"/>
    <w:qFormat/>
    <w:uiPriority w:val="9"/>
    <w:rPr>
      <w:rFonts w:eastAsia="仿宋"/>
      <w:b/>
      <w:bCs/>
      <w:kern w:val="44"/>
      <w:sz w:val="32"/>
      <w:szCs w:val="44"/>
    </w:rPr>
  </w:style>
  <w:style w:type="character" w:customStyle="1" w:styleId="16">
    <w:name w:val="标题 2 Char"/>
    <w:basedOn w:val="12"/>
    <w:link w:val="3"/>
    <w:qFormat/>
    <w:uiPriority w:val="9"/>
    <w:rPr>
      <w:rFonts w:eastAsia="仿宋" w:asciiTheme="majorHAnsi" w:hAnsiTheme="majorHAnsi" w:cstheme="majorBidi"/>
      <w:b/>
      <w:bCs/>
      <w:sz w:val="28"/>
      <w:szCs w:val="32"/>
    </w:rPr>
  </w:style>
  <w:style w:type="paragraph" w:customStyle="1" w:styleId="17">
    <w:name w:val="列表段落1"/>
    <w:basedOn w:val="1"/>
    <w:qFormat/>
    <w:uiPriority w:val="34"/>
    <w:pPr>
      <w:ind w:firstLine="420" w:firstLineChars="200"/>
    </w:pPr>
  </w:style>
  <w:style w:type="character" w:customStyle="1" w:styleId="18">
    <w:name w:val="页眉 Char"/>
    <w:basedOn w:val="12"/>
    <w:link w:val="7"/>
    <w:semiHidden/>
    <w:uiPriority w:val="99"/>
    <w:rPr>
      <w:sz w:val="18"/>
      <w:szCs w:val="18"/>
    </w:rPr>
  </w:style>
  <w:style w:type="character" w:customStyle="1" w:styleId="19">
    <w:name w:val="页脚 Char"/>
    <w:basedOn w:val="12"/>
    <w:link w:val="6"/>
    <w:semiHidden/>
    <w:qFormat/>
    <w:uiPriority w:val="99"/>
    <w:rPr>
      <w:sz w:val="18"/>
      <w:szCs w:val="18"/>
    </w:rPr>
  </w:style>
  <w:style w:type="character" w:customStyle="1" w:styleId="20">
    <w:name w:val="标题 3 Char"/>
    <w:basedOn w:val="12"/>
    <w:link w:val="4"/>
    <w:uiPriority w:val="9"/>
    <w:rPr>
      <w:b/>
      <w:bCs/>
      <w:sz w:val="32"/>
      <w:szCs w:val="32"/>
    </w:rPr>
  </w:style>
  <w:style w:type="character" w:customStyle="1" w:styleId="21">
    <w:name w:val="charges-star"/>
    <w:basedOn w:val="1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201</Words>
  <Characters>1147</Characters>
  <Lines>9</Lines>
  <Paragraphs>2</Paragraphs>
  <TotalTime>86</TotalTime>
  <ScaleCrop>false</ScaleCrop>
  <LinksUpToDate>false</LinksUpToDate>
  <CharactersWithSpaces>1346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2020-04-22T11:12:00Z</dcterms:created>
  <dc:creator>陈俊军(政企客户管理部)</dc:creator>
  <cp:lastModifiedBy>小叶(*^o^*)</cp:lastModifiedBy>
  <cp:lastPrinted>2020-04-27T01:07:00Z</cp:lastPrinted>
  <dcterms:modified xsi:type="dcterms:W3CDTF">2020-04-27T09:21:57Z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