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柳州市科技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  <w:lang w:val="en-US" w:eastAsia="zh-CN"/>
        </w:rPr>
        <w:t>揭榜制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验收权重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细则（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试行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一、柳州市科技揭榜制项目考核指标验收权重：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（一）技术攻关类揭榜制科技项目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将对应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划分给其他指标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（二）成果转化类揭榜制科技项目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将对应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划分给其他指标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三、本细则自印发之日起实施，有效期至2025 年12 月31 日。</w:t>
      </w:r>
      <w:bookmarkStart w:id="0" w:name="_GoBack"/>
      <w:bookmarkEnd w:id="0"/>
    </w:p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43A62FE5"/>
    <w:rsid w:val="58D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2024-06-28T09:43:00Z</dcterms:created>
  <dc:creator>江东远</dc:creator>
  <cp:lastModifiedBy>江东远</cp:lastModifiedBy>
  <dcterms:modified xsi:type="dcterms:W3CDTF">2024-06-28T09:45:12Z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A5089D364BE246D283BBB7B9AE9E92C0_13</vt:lpwstr>
  </property>
</Properties>
</file>