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05"/>
        </w:tabs>
        <w:spacing w:line="540" w:lineRule="exact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附件3</w:t>
      </w:r>
    </w:p>
    <w:p>
      <w:pPr>
        <w:ind w:right="-447" w:rightChars="-213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2022年高新技术企业认定申报工作时间安排表</w:t>
      </w:r>
    </w:p>
    <w:bookmarkEnd w:id="0"/>
    <w:tbl>
      <w:tblPr>
        <w:tblStyle w:val="3"/>
        <w:tblW w:w="93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414"/>
        <w:gridCol w:w="1274"/>
        <w:gridCol w:w="1259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576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 xml:space="preserve">       申报批次</w:t>
            </w:r>
          </w:p>
          <w:p>
            <w:pPr>
              <w:spacing w:line="560" w:lineRule="exact"/>
              <w:ind w:left="-122" w:leftChars="-58"/>
              <w:jc w:val="both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申报程序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第一批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截止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560" w:lineRule="exact"/>
              <w:ind w:left="-65" w:leftChars="-31" w:right="-65" w:rightChars="-31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第二批</w:t>
            </w:r>
          </w:p>
          <w:p>
            <w:pPr>
              <w:spacing w:line="560" w:lineRule="exact"/>
              <w:ind w:left="-65" w:leftChars="-31" w:right="-65" w:rightChars="-31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截止</w:t>
            </w:r>
          </w:p>
          <w:p>
            <w:pPr>
              <w:spacing w:line="560" w:lineRule="exact"/>
              <w:ind w:left="-65" w:leftChars="-31" w:right="-65" w:rightChars="-31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第三批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截止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  <w:t>一、企业网上提交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  <w:t>6月10日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  <w:t>7月22日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  <w:t>9月9日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spacing w:line="440" w:lineRule="exact"/>
              <w:ind w:left="-92" w:leftChars="-44" w:right="-80" w:rightChars="-38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  <w:t>18:00时后提交的申请将转下批次推荐。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  <w:t>二、高企认定服务窗口单位报送纸质材料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  <w:t>6月24日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  <w:t>8月12日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  <w:t>9月30日</w:t>
            </w:r>
          </w:p>
        </w:tc>
        <w:tc>
          <w:tcPr>
            <w:tcW w:w="2814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lang w:val="en-US" w:eastAsia="zh-CN"/>
              </w:rPr>
              <w:t>窗口单位统一将属地内企业申请材料报送至指定受理地点。如选择邮寄方式，截止时间以材料邮寄出的时间为准。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5140"/>
    <w:rsid w:val="71EA065A"/>
    <w:rsid w:val="7F775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2022-04-29T11:41:00Z</dcterms:created>
  <dc:creator>李堃怡</dc:creator>
  <cp:lastModifiedBy>李堃怡</cp:lastModifiedBy>
  <dcterms:modified xsi:type="dcterms:W3CDTF">2022-04-29T11:42:15Z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