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黑体" w:cs="Times New Roman"/>
          <w:sz w:val="32"/>
          <w:szCs w:val="32"/>
          <w:lang w:val="en-US" w:eastAsia="zh-CN"/>
        </w:rPr>
      </w:pPr>
    </w:p>
    <w:p>
      <w:pPr>
        <w:widowControl/>
        <w:shd w:val="clear" w:color="auto" w:fill="FFFFFF"/>
        <w:spacing w:line="56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技术先进型服务业务认定范围（试行）</w:t>
      </w:r>
    </w:p>
    <w:p>
      <w:pPr>
        <w:pStyle w:val="2"/>
        <w:rPr>
          <w:rFonts w:hint="default"/>
        </w:rPr>
      </w:pPr>
    </w:p>
    <w:p>
      <w:pPr>
        <w:widowControl/>
        <w:shd w:val="clear" w:color="auto" w:fill="FFFFFF"/>
        <w:spacing w:line="560" w:lineRule="exact"/>
        <w:jc w:val="left"/>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一、信息技术外包服务（ITO）</w:t>
      </w:r>
    </w:p>
    <w:p>
      <w:pPr>
        <w:pStyle w:val="2"/>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（一）软件研发及外包</w:t>
      </w:r>
    </w:p>
    <w:tbl>
      <w:tblPr>
        <w:tblStyle w:val="11"/>
        <w:tblW w:w="9071"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1871"/>
        <w:gridCol w:w="720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类　别</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适用范围</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1.</w:t>
            </w:r>
            <w:r>
              <w:rPr>
                <w:rFonts w:hint="default" w:ascii="Times New Roman" w:hAnsi="Times New Roman" w:eastAsia="仿宋_GB2312" w:cs="Times New Roman"/>
                <w:kern w:val="0"/>
                <w:sz w:val="28"/>
                <w:szCs w:val="28"/>
              </w:rPr>
              <w:t>软件研发及开发服务</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w:t>
            </w:r>
            <w:r>
              <w:rPr>
                <w:rFonts w:hint="default" w:ascii="Times New Roman" w:hAnsi="Times New Roman" w:eastAsia="仿宋_GB2312" w:cs="Times New Roman"/>
                <w:kern w:val="0"/>
                <w:sz w:val="28"/>
                <w:szCs w:val="28"/>
              </w:rPr>
              <w:t>软件技术服务</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软件咨询、维护、培训、测试等技术性服务。</w:t>
            </w:r>
          </w:p>
        </w:tc>
      </w:tr>
    </w:tbl>
    <w:p>
      <w:pPr>
        <w:pStyle w:val="2"/>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（二）信息技术研发服务外包</w:t>
      </w:r>
    </w:p>
    <w:tbl>
      <w:tblPr>
        <w:tblStyle w:val="11"/>
        <w:tblW w:w="9071"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1871"/>
        <w:gridCol w:w="720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类　别</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适用范围</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集成电路和电子电路设计</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集成电路和电子电路产品设计以及相关技术支持服务等。</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4.</w:t>
            </w:r>
            <w:r>
              <w:rPr>
                <w:rFonts w:hint="default" w:ascii="Times New Roman" w:hAnsi="Times New Roman" w:eastAsia="仿宋_GB2312" w:cs="Times New Roman"/>
                <w:kern w:val="0"/>
                <w:sz w:val="28"/>
                <w:szCs w:val="28"/>
              </w:rPr>
              <w:t>测试平台</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为软件、集成电路和电子电路的开发运用提供测试平台。</w:t>
            </w:r>
          </w:p>
        </w:tc>
      </w:tr>
    </w:tbl>
    <w:p>
      <w:pPr>
        <w:pStyle w:val="2"/>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（三）信息系统运营维护外包</w:t>
      </w:r>
    </w:p>
    <w:tbl>
      <w:tblPr>
        <w:tblStyle w:val="11"/>
        <w:tblW w:w="9071"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1871"/>
        <w:gridCol w:w="720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类　别</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适用范围</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5.</w:t>
            </w:r>
            <w:r>
              <w:rPr>
                <w:rFonts w:hint="default" w:ascii="Times New Roman" w:hAnsi="Times New Roman" w:eastAsia="仿宋_GB2312" w:cs="Times New Roman"/>
                <w:kern w:val="0"/>
                <w:sz w:val="28"/>
                <w:szCs w:val="28"/>
              </w:rPr>
              <w:t>信息系统运营和维护服务</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客户内部信息系统集成、网络管理、桌面管理与维护服务；信息工程、地理信息系统、远程维护等信息系统应用服务。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6.</w:t>
            </w:r>
            <w:r>
              <w:rPr>
                <w:rFonts w:hint="default" w:ascii="Times New Roman" w:hAnsi="Times New Roman" w:eastAsia="仿宋_GB2312" w:cs="Times New Roman"/>
                <w:kern w:val="0"/>
                <w:sz w:val="28"/>
                <w:szCs w:val="28"/>
              </w:rPr>
              <w:t>基础信息技术服务</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基础信息技术管理平台整合、IT基础设施管理、数据中心、托管中心、安全服务、通讯服务等基础信息技术服务。</w:t>
            </w:r>
          </w:p>
        </w:tc>
      </w:tr>
    </w:tbl>
    <w:p>
      <w:pPr>
        <w:widowControl/>
        <w:shd w:val="clear" w:color="auto" w:fill="FFFFFF"/>
        <w:spacing w:line="560" w:lineRule="exact"/>
        <w:jc w:val="left"/>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二、技术性业务流程外包服务（BPO）</w:t>
      </w:r>
    </w:p>
    <w:tbl>
      <w:tblPr>
        <w:tblStyle w:val="11"/>
        <w:tblW w:w="9071"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1871"/>
        <w:gridCol w:w="720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类</w:t>
            </w:r>
            <w:r>
              <w:rPr>
                <w:rFonts w:hint="default" w:ascii="Times New Roman" w:hAnsi="Times New Roman" w:eastAsia="仿宋_GB2312" w:cs="Times New Roman"/>
                <w:b/>
                <w:bCs/>
                <w:kern w:val="0"/>
                <w:sz w:val="28"/>
                <w:szCs w:val="28"/>
                <w:lang w:val="en-US" w:eastAsia="zh-CN"/>
              </w:rPr>
              <w:t xml:space="preserve"> </w:t>
            </w:r>
            <w:r>
              <w:rPr>
                <w:rFonts w:hint="default" w:ascii="Times New Roman" w:hAnsi="Times New Roman" w:eastAsia="仿宋_GB2312" w:cs="Times New Roman"/>
                <w:b/>
                <w:bCs/>
                <w:kern w:val="0"/>
                <w:sz w:val="28"/>
                <w:szCs w:val="28"/>
              </w:rPr>
              <w:t>别</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适用范围</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1.</w:t>
            </w:r>
            <w:r>
              <w:rPr>
                <w:rFonts w:hint="default" w:ascii="Times New Roman" w:hAnsi="Times New Roman" w:eastAsia="仿宋_GB2312" w:cs="Times New Roman"/>
                <w:kern w:val="0"/>
                <w:sz w:val="28"/>
                <w:szCs w:val="28"/>
              </w:rPr>
              <w:t>企业业务流程设计服务</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为客户企业提供内部管理、业务运作等流程设计服务。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w:t>
            </w:r>
            <w:r>
              <w:rPr>
                <w:rFonts w:hint="default" w:ascii="Times New Roman" w:hAnsi="Times New Roman" w:eastAsia="仿宋_GB2312" w:cs="Times New Roman"/>
                <w:kern w:val="0"/>
                <w:sz w:val="28"/>
                <w:szCs w:val="28"/>
              </w:rPr>
              <w:t>企业内部管理服务</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为客户企业提供后台管理、人力资源管理、财务、审计与税务管理、金融支付服务、医疗数据及其他内部管理业务的数据分析、数据挖掘、数据管理、数据使用的服务；承接客户专业数据处理、分析和整合服务。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企业运营服务</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4.</w:t>
            </w:r>
            <w:r>
              <w:rPr>
                <w:rFonts w:hint="default" w:ascii="Times New Roman" w:hAnsi="Times New Roman" w:eastAsia="仿宋_GB2312" w:cs="Times New Roman"/>
                <w:kern w:val="0"/>
                <w:sz w:val="28"/>
                <w:szCs w:val="28"/>
              </w:rPr>
              <w:t>企业供应链管理服务</w:t>
            </w:r>
          </w:p>
        </w:tc>
        <w:tc>
          <w:tcPr>
            <w:tcW w:w="720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为客户企业提供采购、物流的整体方案设计及数据库服务。</w:t>
            </w:r>
          </w:p>
        </w:tc>
      </w:tr>
    </w:tbl>
    <w:p>
      <w:pPr>
        <w:widowControl/>
        <w:shd w:val="clear" w:color="auto" w:fill="FFFFFF"/>
        <w:spacing w:line="560" w:lineRule="exact"/>
        <w:jc w:val="left"/>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三、技术性知识流程外包服务（KPO）</w:t>
      </w:r>
    </w:p>
    <w:tbl>
      <w:tblPr>
        <w:tblStyle w:val="11"/>
        <w:tblW w:w="9071"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907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907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60" w:lineRule="exact"/>
              <w:jc w:val="center"/>
              <w:rPr>
                <w:rFonts w:hint="default" w:ascii="Times New Roman" w:hAnsi="Times New Roman" w:cs="Times New Roman"/>
                <w:kern w:val="0"/>
                <w:sz w:val="28"/>
                <w:szCs w:val="28"/>
              </w:rPr>
            </w:pPr>
            <w:r>
              <w:rPr>
                <w:rFonts w:hint="default" w:ascii="Times New Roman" w:hAnsi="Times New Roman" w:eastAsia="仿宋_GB2312" w:cs="Times New Roman"/>
                <w:b/>
                <w:bCs/>
                <w:kern w:val="0"/>
                <w:sz w:val="28"/>
                <w:szCs w:val="28"/>
              </w:rPr>
              <w:t>适用范围</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907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60" w:lineRule="exact"/>
              <w:jc w:val="left"/>
              <w:rPr>
                <w:rFonts w:hint="default" w:ascii="Times New Roman" w:hAnsi="Times New Roman" w:cs="Times New Roman"/>
                <w:kern w:val="0"/>
                <w:sz w:val="28"/>
                <w:szCs w:val="28"/>
              </w:rPr>
            </w:pPr>
            <w:r>
              <w:rPr>
                <w:rFonts w:hint="default" w:ascii="Times New Roman" w:hAnsi="Times New Roman" w:eastAsia="仿宋_GB2312" w:cs="Times New Roman"/>
                <w:kern w:val="0"/>
                <w:sz w:val="28"/>
                <w:szCs w:val="28"/>
              </w:rPr>
              <w:t>知识产权研究、医药和生物技术研发和测试、产品技术研发、工业设计、分析学和数据挖掘、动漫及网游设计研发、教育课件研发、工程设计等领域。</w:t>
            </w:r>
          </w:p>
        </w:tc>
      </w:tr>
    </w:tbl>
    <w:p>
      <w:pPr>
        <w:widowControl/>
        <w:shd w:val="clear" w:color="auto" w:fill="FFFFFF"/>
        <w:spacing w:line="560" w:lineRule="exact"/>
        <w:jc w:val="left"/>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四、服务贸易类</w:t>
      </w:r>
    </w:p>
    <w:p>
      <w:pPr>
        <w:pStyle w:val="2"/>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（一）计算机和信息服务</w:t>
      </w:r>
    </w:p>
    <w:tbl>
      <w:tblPr>
        <w:tblStyle w:val="11"/>
        <w:tblW w:w="9071" w:type="dxa"/>
        <w:jc w:val="center"/>
        <w:tblInd w:w="0" w:type="dxa"/>
        <w:shd w:val="clear" w:color="auto" w:fill="FFFFFF"/>
        <w:tblLayout w:type="fixed"/>
        <w:tblCellMar>
          <w:top w:w="0" w:type="dxa"/>
          <w:left w:w="0" w:type="dxa"/>
          <w:bottom w:w="0" w:type="dxa"/>
          <w:right w:w="0" w:type="dxa"/>
        </w:tblCellMar>
      </w:tblPr>
      <w:tblGrid>
        <w:gridCol w:w="1871"/>
        <w:gridCol w:w="7200"/>
      </w:tblGrid>
      <w:tr>
        <w:tblPrEx>
          <w:shd w:val="clear" w:color="auto" w:fill="FFFFFF"/>
          <w:tblLayout w:type="fixed"/>
          <w:tblCellMar>
            <w:top w:w="0" w:type="dxa"/>
            <w:left w:w="0" w:type="dxa"/>
            <w:bottom w:w="0" w:type="dxa"/>
            <w:right w:w="0" w:type="dxa"/>
          </w:tblCellMar>
        </w:tblPrEx>
        <w:trPr>
          <w:trHeight w:val="554" w:hRule="atLeast"/>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类　别</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适用范围</w:t>
            </w:r>
          </w:p>
        </w:tc>
      </w:tr>
      <w:tr>
        <w:tblPrEx>
          <w:tblLayout w:type="fixed"/>
          <w:tblCellMar>
            <w:top w:w="0" w:type="dxa"/>
            <w:left w:w="0" w:type="dxa"/>
            <w:bottom w:w="0" w:type="dxa"/>
            <w:right w:w="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1.信息系统集成服务</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系统集成咨询服务；系统集成工程服务；提供硬件设备现场组装、软件安装与调试及相关运营维护支撑服务；系统运营维护服务，包括系统运行检测监控、故障定位与排除、性能管理、优化升级等。</w:t>
            </w:r>
          </w:p>
        </w:tc>
      </w:tr>
      <w:tr>
        <w:tblPrEx>
          <w:tblLayout w:type="fixed"/>
          <w:tblCellMar>
            <w:top w:w="0" w:type="dxa"/>
            <w:left w:w="0" w:type="dxa"/>
            <w:bottom w:w="0" w:type="dxa"/>
            <w:right w:w="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2.数据服务</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数据存储管理服务，提供数据规划、评估、审计、咨询、清洗、整理、应用服务，数据增值服务，提供其他未分类数据处理服务。</w:t>
            </w:r>
          </w:p>
        </w:tc>
      </w:tr>
    </w:tbl>
    <w:p>
      <w:pPr>
        <w:widowControl/>
        <w:snapToGrid w:val="0"/>
        <w:spacing w:line="100" w:lineRule="exact"/>
        <w:rPr>
          <w:rFonts w:hint="default" w:ascii="Times New Roman" w:hAnsi="Times New Roman" w:eastAsia="方正小标宋简体" w:cs="Times New Roman"/>
          <w:sz w:val="44"/>
          <w:szCs w:val="44"/>
        </w:rPr>
      </w:pPr>
    </w:p>
    <w:p>
      <w:pPr>
        <w:pStyle w:val="2"/>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（二）研究开发和技术服务</w:t>
      </w:r>
    </w:p>
    <w:tbl>
      <w:tblPr>
        <w:tblStyle w:val="11"/>
        <w:tblW w:w="9071" w:type="dxa"/>
        <w:jc w:val="center"/>
        <w:tblInd w:w="0" w:type="dxa"/>
        <w:shd w:val="clear" w:color="auto" w:fill="FFFFFF"/>
        <w:tblLayout w:type="fixed"/>
        <w:tblCellMar>
          <w:top w:w="0" w:type="dxa"/>
          <w:left w:w="0" w:type="dxa"/>
          <w:bottom w:w="0" w:type="dxa"/>
          <w:right w:w="0" w:type="dxa"/>
        </w:tblCellMar>
      </w:tblPr>
      <w:tblGrid>
        <w:gridCol w:w="1871"/>
        <w:gridCol w:w="7200"/>
      </w:tblGrid>
      <w:tr>
        <w:tblPrEx>
          <w:tblLayout w:type="fixed"/>
          <w:tblCellMar>
            <w:top w:w="0" w:type="dxa"/>
            <w:left w:w="0" w:type="dxa"/>
            <w:bottom w:w="0" w:type="dxa"/>
            <w:right w:w="0" w:type="dxa"/>
          </w:tblCellMar>
        </w:tblPrEx>
        <w:trPr>
          <w:trHeight w:val="554" w:hRule="atLeast"/>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类　别</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适用范围</w:t>
            </w:r>
          </w:p>
        </w:tc>
      </w:tr>
      <w:tr>
        <w:tblPrEx>
          <w:tblLayout w:type="fixed"/>
          <w:tblCellMar>
            <w:top w:w="0" w:type="dxa"/>
            <w:left w:w="0" w:type="dxa"/>
            <w:bottom w:w="0" w:type="dxa"/>
            <w:right w:w="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3.研究和实验开发服务</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物理学、化学、生物学、基因学、工程学、医学、农业科学、环境科学、人类地理科学、经济学和人文科学等领域的研究和实验开发服务。</w:t>
            </w:r>
          </w:p>
        </w:tc>
      </w:tr>
      <w:tr>
        <w:tblPrEx>
          <w:tblLayout w:type="fixed"/>
          <w:tblCellMar>
            <w:top w:w="0" w:type="dxa"/>
            <w:left w:w="0" w:type="dxa"/>
            <w:bottom w:w="0" w:type="dxa"/>
            <w:right w:w="0" w:type="dxa"/>
          </w:tblCellMar>
        </w:tblPrEx>
        <w:trPr>
          <w:trHeight w:val="1298" w:hRule="atLeast"/>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4.工业设计服务</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对产品的材料、结构、机理、形状、颜色和表面处理的设计与选择；对产品进行的综合设计服务，即产品外观的设计、机械结构和电路设计等服务。</w:t>
            </w:r>
          </w:p>
        </w:tc>
      </w:tr>
      <w:tr>
        <w:tblPrEx>
          <w:tblLayout w:type="fixed"/>
          <w:tblCellMar>
            <w:top w:w="0" w:type="dxa"/>
            <w:left w:w="0" w:type="dxa"/>
            <w:bottom w:w="0" w:type="dxa"/>
            <w:right w:w="0" w:type="dxa"/>
          </w:tblCellMar>
        </w:tblPrEx>
        <w:trPr>
          <w:trHeight w:val="1717" w:hRule="atLeast"/>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5.知识产权跨境许可与转让</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以专利、版权、商标等为载体的技术贸易。知识产权跨境许可是指授权境外机构有偿使用专利、版权和商标等；知识产权跨境转让是指将专利、版权和商标等知识产权售卖给境外机构。</w:t>
            </w:r>
          </w:p>
        </w:tc>
      </w:tr>
    </w:tbl>
    <w:p>
      <w:pPr>
        <w:pStyle w:val="2"/>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（三）文化技术服务</w:t>
      </w:r>
    </w:p>
    <w:tbl>
      <w:tblPr>
        <w:tblStyle w:val="11"/>
        <w:tblW w:w="9071" w:type="dxa"/>
        <w:jc w:val="center"/>
        <w:tblInd w:w="0" w:type="dxa"/>
        <w:shd w:val="clear" w:color="auto" w:fill="FFFFFF"/>
        <w:tblLayout w:type="fixed"/>
        <w:tblCellMar>
          <w:top w:w="0" w:type="dxa"/>
          <w:left w:w="0" w:type="dxa"/>
          <w:bottom w:w="0" w:type="dxa"/>
          <w:right w:w="0" w:type="dxa"/>
        </w:tblCellMar>
      </w:tblPr>
      <w:tblGrid>
        <w:gridCol w:w="1871"/>
        <w:gridCol w:w="7200"/>
      </w:tblGrid>
      <w:tr>
        <w:tblPrEx>
          <w:tblLayout w:type="fixed"/>
          <w:tblCellMar>
            <w:top w:w="0" w:type="dxa"/>
            <w:left w:w="0" w:type="dxa"/>
            <w:bottom w:w="0" w:type="dxa"/>
            <w:right w:w="0" w:type="dxa"/>
          </w:tblCellMar>
        </w:tblPrEx>
        <w:trPr>
          <w:trHeight w:val="554" w:hRule="atLeast"/>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类　别</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适用范围</w:t>
            </w:r>
          </w:p>
        </w:tc>
      </w:tr>
      <w:tr>
        <w:tblPrEx>
          <w:tblLayout w:type="fixed"/>
          <w:tblCellMar>
            <w:top w:w="0" w:type="dxa"/>
            <w:left w:w="0" w:type="dxa"/>
            <w:bottom w:w="0" w:type="dxa"/>
            <w:right w:w="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6.文化产品数字制作及相关服务</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采用数字技术对舞台剧目、音乐、美术、文物、非物质文化遗产、文献资源等文化内容以及各种出版物进行数字化转化和开发，为各种显示终端提供内容，以及采用数字技术传播、经营文化产品等相关服务。</w:t>
            </w:r>
          </w:p>
        </w:tc>
      </w:tr>
      <w:tr>
        <w:tblPrEx>
          <w:tblLayout w:type="fixed"/>
          <w:tblCellMar>
            <w:top w:w="0" w:type="dxa"/>
            <w:left w:w="0" w:type="dxa"/>
            <w:bottom w:w="0" w:type="dxa"/>
            <w:right w:w="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7.文化产品的对外翻译、配音及制作服务</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将本国文化产品翻译或配音成其他国家语言，将其他国家文化产品翻译或配音成本国语言以及与其相关的制作服务。</w:t>
            </w:r>
          </w:p>
        </w:tc>
      </w:tr>
    </w:tbl>
    <w:p>
      <w:pPr>
        <w:pStyle w:val="2"/>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（四）中医药医疗服务</w:t>
      </w:r>
    </w:p>
    <w:tbl>
      <w:tblPr>
        <w:tblStyle w:val="11"/>
        <w:tblW w:w="9071" w:type="dxa"/>
        <w:jc w:val="center"/>
        <w:tblInd w:w="0" w:type="dxa"/>
        <w:shd w:val="clear" w:color="auto" w:fill="FFFFFF"/>
        <w:tblLayout w:type="fixed"/>
        <w:tblCellMar>
          <w:top w:w="0" w:type="dxa"/>
          <w:left w:w="0" w:type="dxa"/>
          <w:bottom w:w="0" w:type="dxa"/>
          <w:right w:w="0" w:type="dxa"/>
        </w:tblCellMar>
      </w:tblPr>
      <w:tblGrid>
        <w:gridCol w:w="1871"/>
        <w:gridCol w:w="7200"/>
      </w:tblGrid>
      <w:tr>
        <w:tblPrEx>
          <w:tblLayout w:type="fixed"/>
          <w:tblCellMar>
            <w:top w:w="0" w:type="dxa"/>
            <w:left w:w="0" w:type="dxa"/>
            <w:bottom w:w="0" w:type="dxa"/>
            <w:right w:w="0" w:type="dxa"/>
          </w:tblCellMar>
        </w:tblPrEx>
        <w:trPr>
          <w:trHeight w:val="554" w:hRule="atLeast"/>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类　别</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pacing w:line="5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适用范围</w:t>
            </w:r>
          </w:p>
        </w:tc>
      </w:tr>
      <w:tr>
        <w:tblPrEx>
          <w:tblLayout w:type="fixed"/>
          <w:tblCellMar>
            <w:top w:w="0" w:type="dxa"/>
            <w:left w:w="0" w:type="dxa"/>
            <w:bottom w:w="0" w:type="dxa"/>
            <w:right w:w="0" w:type="dxa"/>
          </w:tblCellMar>
        </w:tblPrEx>
        <w:trPr>
          <w:jc w:val="center"/>
        </w:trPr>
        <w:tc>
          <w:tcPr>
            <w:tcW w:w="187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8.中医药医疗保健及相关服务</w:t>
            </w:r>
          </w:p>
        </w:tc>
        <w:tc>
          <w:tcPr>
            <w:tcW w:w="72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与中医药相关的远程医疗保健、教育培训、文化交流等服务。</w:t>
            </w:r>
          </w:p>
        </w:tc>
      </w:tr>
    </w:tbl>
    <w:p>
      <w:pPr>
        <w:pStyle w:val="2"/>
        <w:keepNext w:val="0"/>
        <w:keepLines w:val="0"/>
        <w:pageBreakBefore w:val="0"/>
        <w:widowControl w:val="0"/>
        <w:kinsoku/>
        <w:wordWrap/>
        <w:overflowPunct/>
        <w:topLinePunct w:val="0"/>
        <w:autoSpaceDE w:val="0"/>
        <w:autoSpaceDN w:val="0"/>
        <w:bidi w:val="0"/>
        <w:adjustRightInd w:val="0"/>
        <w:snapToGrid/>
        <w:spacing w:line="20" w:lineRule="exact"/>
        <w:textAlignment w:val="auto"/>
        <w:rPr>
          <w:rFonts w:hint="default" w:ascii="Times New Roman" w:hAnsi="Times New Roman" w:eastAsia="楷体_GB2312"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黑体" w:cs="Times New Roman"/>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ascii="Times New Roman" w:hAnsi="Times New Roman" w:cs="Times New Roman"/>
          <w:lang w:val="en-US" w:eastAsia="zh-CN"/>
        </w:rPr>
      </w:pPr>
    </w:p>
    <w:sectPr>
      <w:headerReference r:id="rId3" w:type="default"/>
      <w:footerReference r:id="rId4" w:type="default"/>
      <w:pgSz w:w="11906" w:h="16838"/>
      <w:pgMar w:top="2098" w:right="1531" w:bottom="1417"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roma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00"/>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72DF6"/>
    <w:rsid w:val="01A51A85"/>
    <w:rsid w:val="02FF6443"/>
    <w:rsid w:val="06072DF6"/>
    <w:rsid w:val="0D464995"/>
    <w:rsid w:val="10E90A95"/>
    <w:rsid w:val="19FF7D71"/>
    <w:rsid w:val="1E167A9F"/>
    <w:rsid w:val="20233AD5"/>
    <w:rsid w:val="22FA4882"/>
    <w:rsid w:val="25DF170D"/>
    <w:rsid w:val="293102C8"/>
    <w:rsid w:val="2EEF1EE7"/>
    <w:rsid w:val="2FDD23B8"/>
    <w:rsid w:val="2FDD2A1B"/>
    <w:rsid w:val="32500DB4"/>
    <w:rsid w:val="34735F74"/>
    <w:rsid w:val="34D51171"/>
    <w:rsid w:val="38DC6B17"/>
    <w:rsid w:val="3DE7E4E2"/>
    <w:rsid w:val="3DEDD16C"/>
    <w:rsid w:val="3EF43950"/>
    <w:rsid w:val="3FCE9D8B"/>
    <w:rsid w:val="3FFF460D"/>
    <w:rsid w:val="402204FB"/>
    <w:rsid w:val="42422099"/>
    <w:rsid w:val="486523B8"/>
    <w:rsid w:val="4A3A3578"/>
    <w:rsid w:val="4D3FAE10"/>
    <w:rsid w:val="4DFD7569"/>
    <w:rsid w:val="547A534F"/>
    <w:rsid w:val="567F499C"/>
    <w:rsid w:val="59BB1878"/>
    <w:rsid w:val="5D4130D5"/>
    <w:rsid w:val="5E6FAD46"/>
    <w:rsid w:val="5ECEC1CA"/>
    <w:rsid w:val="5EF786C9"/>
    <w:rsid w:val="5EFF8229"/>
    <w:rsid w:val="5FBA0C94"/>
    <w:rsid w:val="5FFD3CC6"/>
    <w:rsid w:val="601C0B4E"/>
    <w:rsid w:val="64205A2C"/>
    <w:rsid w:val="65974A8B"/>
    <w:rsid w:val="70BE6293"/>
    <w:rsid w:val="716D0739"/>
    <w:rsid w:val="73752F20"/>
    <w:rsid w:val="73C84A7F"/>
    <w:rsid w:val="74AA60D8"/>
    <w:rsid w:val="76B37ABE"/>
    <w:rsid w:val="77BB6408"/>
    <w:rsid w:val="77EB2C2F"/>
    <w:rsid w:val="79B77068"/>
    <w:rsid w:val="7B3F9A6A"/>
    <w:rsid w:val="7BDD7FA2"/>
    <w:rsid w:val="7CFAC29F"/>
    <w:rsid w:val="7DFFA5DA"/>
    <w:rsid w:val="7E635392"/>
    <w:rsid w:val="7EF6E64C"/>
    <w:rsid w:val="7F77D6E5"/>
    <w:rsid w:val="7F7F6EF8"/>
    <w:rsid w:val="7FB378CE"/>
    <w:rsid w:val="7FB7FE2C"/>
    <w:rsid w:val="7FCB5A35"/>
    <w:rsid w:val="7FF772D9"/>
    <w:rsid w:val="93CBA812"/>
    <w:rsid w:val="9F7D5AD7"/>
    <w:rsid w:val="AF576C56"/>
    <w:rsid w:val="AF97FDF3"/>
    <w:rsid w:val="AFEF0C0C"/>
    <w:rsid w:val="AFF7F024"/>
    <w:rsid w:val="B5FD6911"/>
    <w:rsid w:val="BDFD27BE"/>
    <w:rsid w:val="BDFFA524"/>
    <w:rsid w:val="BDFFC647"/>
    <w:rsid w:val="BF6D4444"/>
    <w:rsid w:val="BFBEF159"/>
    <w:rsid w:val="D7FDE737"/>
    <w:rsid w:val="DBDF208D"/>
    <w:rsid w:val="E9F7236A"/>
    <w:rsid w:val="EBDEB2DF"/>
    <w:rsid w:val="EC8E7FFA"/>
    <w:rsid w:val="ED3737E0"/>
    <w:rsid w:val="EF77FC5E"/>
    <w:rsid w:val="EFBF5277"/>
    <w:rsid w:val="F3BE4A3C"/>
    <w:rsid w:val="F5BF1F1D"/>
    <w:rsid w:val="F6BF9DF5"/>
    <w:rsid w:val="F75F8B07"/>
    <w:rsid w:val="F7EFA458"/>
    <w:rsid w:val="FBEFBE65"/>
    <w:rsid w:val="FF3FBB1C"/>
    <w:rsid w:val="FF7C7C77"/>
    <w:rsid w:val="FF7EFFFF"/>
    <w:rsid w:val="FFBA48F2"/>
    <w:rsid w:val="FFD2AD0C"/>
    <w:rsid w:val="FFF87936"/>
    <w:rsid w:val="FFFFC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ody Text Indent 2"/>
    <w:basedOn w:val="1"/>
    <w:qFormat/>
    <w:uiPriority w:val="0"/>
    <w:pPr>
      <w:adjustRightInd w:val="0"/>
      <w:spacing w:line="480" w:lineRule="exact"/>
      <w:ind w:right="17" w:firstLine="200" w:firstLineChars="200"/>
      <w:textAlignment w:val="baseline"/>
    </w:pPr>
    <w:rPr>
      <w:rFonts w:ascii="宋体" w:hAnsi="Times New Roman"/>
      <w:kern w:val="0"/>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adjustRightInd w:val="0"/>
      <w:spacing w:before="240" w:after="60" w:line="312" w:lineRule="atLeast"/>
      <w:jc w:val="center"/>
      <w:textAlignment w:val="baseline"/>
    </w:pPr>
    <w:rPr>
      <w:rFonts w:ascii="Arial" w:hAnsi="Arial"/>
      <w:b/>
      <w:kern w:val="28"/>
      <w:sz w:val="32"/>
      <w:szCs w:val="20"/>
    </w:rPr>
  </w:style>
  <w:style w:type="character" w:styleId="9">
    <w:name w:val="page number"/>
    <w:qFormat/>
    <w:uiPriority w:val="0"/>
  </w:style>
  <w:style w:type="character" w:styleId="10">
    <w:name w:val="Hyperlink"/>
    <w:basedOn w:val="8"/>
    <w:qFormat/>
    <w:uiPriority w:val="0"/>
    <w:rPr>
      <w:color w:val="0000FF"/>
      <w:u w:val="singl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2022-06-23T09:45:00Z</dcterms:created>
  <dc:creator>argune</dc:creator>
  <cp:lastModifiedBy>L-Zer0</cp:lastModifiedBy>
  <dcterms:modified xsi:type="dcterms:W3CDTF">2023-06-15T01:26:40Z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