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color w:val="000000"/>
          <w:sz w:val="32"/>
          <w:szCs w:val="32"/>
        </w:rPr>
      </w:pPr>
      <w:bookmarkStart w:id="0" w:name="_Hlk29364815"/>
      <w:r>
        <w:rPr>
          <w:rFonts w:eastAsia="黑体"/>
          <w:bCs/>
          <w:color w:val="000000"/>
          <w:sz w:val="32"/>
          <w:szCs w:val="32"/>
        </w:rPr>
        <w:t>附件</w:t>
      </w:r>
    </w:p>
    <w:bookmarkEnd w:id="0"/>
    <w:p>
      <w:pPr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《构建鲲鹏产业生态，加快数字广西发展实施方案》主要任务分工表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657"/>
        <w:gridCol w:w="5952"/>
        <w:gridCol w:w="3779"/>
        <w:gridCol w:w="1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主要任务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主要内容</w:t>
            </w:r>
          </w:p>
        </w:tc>
        <w:tc>
          <w:tcPr>
            <w:tcW w:w="396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责任单位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建设安全自主政务信息化基础设施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推进鲲鹏技术体系在现有政务信息系统升级改造中的应用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牵头单位：自治区大数据发展局；配合单位：自治区有关部门，各设区市人民政府，数字广西集团有限公司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2025年12月底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鼓励新建政务信息化项目优先采用鲲鹏技术体系下的软硬件产品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2025年12月底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打造安全自主政务云体系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spacing w:val="4"/>
                <w:sz w:val="32"/>
              </w:rPr>
              <w:t>推进鲲鹏技术体系在发改</w:t>
            </w:r>
            <w:r>
              <w:rPr>
                <w:rFonts w:eastAsia="仿宋_GB2312"/>
                <w:spacing w:val="4"/>
                <w:sz w:val="32"/>
                <w:szCs w:val="32"/>
              </w:rPr>
              <w:t>、</w:t>
            </w:r>
            <w:r>
              <w:rPr>
                <w:rFonts w:eastAsia="仿宋_GB2312"/>
                <w:spacing w:val="4"/>
                <w:sz w:val="32"/>
              </w:rPr>
              <w:t>财政</w:t>
            </w:r>
            <w:r>
              <w:rPr>
                <w:rFonts w:eastAsia="仿宋_GB2312"/>
                <w:spacing w:val="4"/>
                <w:sz w:val="32"/>
                <w:szCs w:val="32"/>
              </w:rPr>
              <w:t>、审计</w:t>
            </w:r>
            <w:r>
              <w:rPr>
                <w:rFonts w:eastAsia="仿宋_GB2312"/>
                <w:spacing w:val="4"/>
                <w:sz w:val="32"/>
              </w:rPr>
              <w:t>、</w:t>
            </w:r>
            <w:r>
              <w:rPr>
                <w:rFonts w:eastAsia="仿宋_GB2312"/>
                <w:spacing w:val="4"/>
                <w:sz w:val="32"/>
                <w:szCs w:val="32"/>
              </w:rPr>
              <w:t>税务</w:t>
            </w:r>
            <w:r>
              <w:rPr>
                <w:rFonts w:eastAsia="仿宋_GB2312"/>
                <w:spacing w:val="4"/>
                <w:sz w:val="32"/>
              </w:rPr>
              <w:t>等</w:t>
            </w:r>
            <w:r>
              <w:rPr>
                <w:rFonts w:eastAsia="仿宋_GB2312"/>
                <w:spacing w:val="4"/>
                <w:sz w:val="32"/>
                <w:szCs w:val="32"/>
              </w:rPr>
              <w:t>相关</w:t>
            </w:r>
            <w:r>
              <w:rPr>
                <w:rFonts w:eastAsia="仿宋_GB2312"/>
                <w:spacing w:val="4"/>
                <w:sz w:val="32"/>
              </w:rPr>
              <w:t>部门政务云底层基础设施中的应用</w:t>
            </w:r>
            <w:r>
              <w:rPr>
                <w:rFonts w:eastAsia="仿宋_GB2312"/>
                <w:color w:val="000000"/>
                <w:spacing w:val="4"/>
                <w:sz w:val="32"/>
                <w:szCs w:val="32"/>
              </w:rPr>
              <w:t>，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大数据发展局，配合单位：自治区发展改革委、财政厅、审计厅、广电局，广西税务局，各设区市人民政府，数字广西集团有限公司、中国电信广西分公司、中国移动广西有限公司、中国联通广西分公司、广西广播电视信息网络股份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推进鲲鹏技术体系在数字政府电视电话视频会议云、桌面云等云服务平台的应用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推进高效“互联网+政务服务”。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推进鲲鹏技术体系在广西一体化在线政务服务平台中的应用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牵头单位：自治区大数据发展局，配合单位：自治区各有关部门，各设区市人民政府，数字广西集团有限公司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以鲲鹏技术体系为支撑，打造一批体验感好、便捷高效的移动端政务应用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打造全国领先的鲲鹏计算产业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引入具备计算机终端、服务器生产能力的区外厂家与我区企业成立合资公司，培育一批基于鲲鹏技术架构的本地品牌制造企业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牵头单位：自治区大数据发展局，配合单位：自治区发展改革委、科技厅、工业和信息化厅、投资促进局，各设区市人民政府，数字广西集团有限公司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引进、培育具有自主知识产权的基础软件企业，孵化一批本地鲲鹏基础软件企业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培育一批本地鲲鹏行业应用软件企业，形成一批行业解决方案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构建融合创新数字产业生态圈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统筹规划建设鲲鹏生态产业园，打造众创空间、孵化基地等平台载体，引进、培育鲲鹏产业生态外延产业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牵头单位：大数据发展局、自治区工业和信息化厅；配合单位：自治区发展改革委、科技厅、投资促进局、通信管理局，各设区市人民政府，数字广西集团有限公司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引入若干家鲲鹏产业生态软硬件龙头企业，培育一批鲲鹏技术体系下的“独角兽”“瞪羚”企业和“专精特新”中小企业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推进鲲鹏计算与5G网络、人工智能、区块链等技术的融合创新，孵化行业应用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2025年12月底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推进数字产业支撑体系建设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建立鲲鹏生态创新中心，联合高校、科研院所、软硬件企业共建开放实验室，搭建开发测试环境，提供测试服务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牵头单位：自治区大数据发展局、工业和信息化厅；配合单位：自治区发展改革委、科技厅、市场监管局、通信管理局，各设区市人民政府，数字广西集团有限公司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建设基于鲲鹏技术体系的测评认证平台，形成完善的鲲鹏产业生态测试认证体系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建设鲲鹏生态体系展示中心，扩大产业生态影响力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推进工业数字化新应用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利用鲲鹏技术体系打造一批智能制造标杆示范项目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牵头单位：自治区工业和信息化厅，配合单位：自治区发展改革委、科技厅、大数据发展局、通信管理局，各设区市人民政府，数字广西集团有限公司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推进“鲲鹏云+边缘智能”在工业互联网平台中的应用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推进鲲鹏技术体系在工业云平台中的应用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19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打造智慧农业应用新生态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打造鲲鹏数字化现代特色农业示范区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牵头单位：自治区农业农村厅，配合单位：自治区发展改革委、工业和信息化厅、商务厅、市场监督管理局、林业局、大数据发展局、糖业发展办，各设区市人民政府，数字广西集团有限公司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推进鲲鹏技术体系在农村电商公共服务平台中的应用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推进鲲鹏技术体系在农业大数据平台中的应用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打造现代服务业应用新生态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推进鲲鹏技术体系在交通物流综合服务平台中的应用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牵头单位：自治区商务厅、交通运输厅；配合单位：自治区工业和信息化厅、科技厅、文化和旅游厅、金融监管局、大数据发展局，数字广西集团有限公司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推进鲲鹏技术体系在旅游大数据中心的应用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支持金融行业采用鲲鹏技术体系优化信息系统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25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推进智慧教育创新发展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利用鲲鹏技术体系支持智慧教育综合服务平台建设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牵头单位：自治区教育厅，配合单位：自治区发展改革委、大数据发展局，各设区市人民政府，数字广西集团有限公司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推进鲲鹏技术体系在教育大数据平台中的应用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推进鲲鹏技术体系在广西统一教育网中的应用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28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推进医疗健康创新发展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推进鲲鹏技术体系在重点医院信息系统升级改造中的应用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牵头单位：自治区卫生健康委，医疗保障局；配合单位：自治区发展改革委、科技厅、大数据发展局，各设区市人民政府，数字广西集团有限公司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推进鲲鹏技术体系在医疗保障信息平台中的应用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推进鲲鹏技术体系在广西全民健康信息平台中的应用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推进智能交通创新发展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推进鲲鹏技术体系在港口多式联运综合服务平台中的应用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牵头单位：自治区交通厅，配合单位：自治区发展改革委、科技厅、大数据发展局，各设区市人民政府，数字广西集团有限公司、中国铁路南宁局集团有限公司、广西机场管理集团有限责任公司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推广鲲鹏技术体系下的高速公路视频云和交通大数据平台应用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推进鲲鹏软硬件产品在车路协同、智慧港口、智慧机场、智慧火车站、智慧服务区等项目中的广泛应用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2025年12月底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34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推进城市智慧管理体系建设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推动鲲鹏技术体系在城市数据大脑建设中的应用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牵头单位：自治区发展改革委、大数据发展局、科技厅，配合单位：自治区有关部门，各设区市人民政府，数字广西集团有限公司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推进鲲鹏技术体系在电力系统中的应用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推动鲲鹏技术体系在城市统一公共服务信息平台中的应用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37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推进数字化治安防控体系建设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推进鲲鹏技术体系在新一代公安信息网中的应用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牵头单位：自治区政法委，配合单位：发展改革委、科技厅、自治区公安厅、应急管理厅、大数据发展局，各设区市人民政府，数字广西集团有限公司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推进鲲鹏技术体系在公共安全视频监控建设联网项目中的应用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推进鲲鹏技术体系在智慧化应急指挥中心中的应用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建设新一代信息通信基础设施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推进鲲鹏技术体系在5G边缘计算、SDN/NFV（软件定义网络/网络功能虚拟化）、“广电云”等网络技术和基础服务平台中的应用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通信管理局、大数据发展局，配合单位：自治区工业和信息化厅，广电局、各设区市人民政府，中国电信广西分公司、中国移动广西有限公司、中国联通广西分公司、广西广播电视信息网络股份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开展运营商业务支撑平台安全自主示范工程，推动运营商各类业务系统与鲲鹏技术体系的兼容适配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推进鲲鹏技术体系在国家级互联网骨干直联点、中国-东盟国际直达专用数据通道等关键基础设施中的应用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建设新型应用基础设施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加强基于鲲鹏技术体系的数据中心、CDN（内容分发网络）等新型应用基础设施的统筹规划和部署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牵头单位：自治区通信管理局，配合单位：自治区工业和信息化厅、大数据发展局，各设区市人民政府，中国电信广西分公司、中国移动广西有限公司、中国联通广西分公司、广西广播电视信息网络股份有限公司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实施鲲鹏技术体系在重点行业数字基础设施中应用示范工程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45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提升数字基础设施安全防护等级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建立鲲鹏生态软硬件产品目录体系，推进我区关键信息通信网络、信息化系统、数据中心等基础设施的规模化替代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牵头单位：自治区公安厅，配合单位：自治区工业和信息化厅、大数据发展局、通信管理局，各设区市人民政府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打造数字基础设施安全防护支撑平台，推进大数据分析、人工智能、区块链等新兴技术在鲲鹏计算基础设施安全防护中的应用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推进鲲鹏计算基础设施安全防护标准规范建设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48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加强数据资源安全保护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推动数据安全技术在行业、政务大数据应用以及数据跨境流动安全管理中的部署应用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牵头单位：自治区公安厅、大数据发展局、安全厅，配合单位：自治区各有关部门，各设区市人民政府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开展数据安全攻防实验，推动鲲鹏计算、区块链、软件定义边界等新技术在数据安全防护中的落地应用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强化数字安全管理机制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成立大数据安全服务保障专职机构，统筹推进数据安全关键技术应用推广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牵头单位：自治区公安厅，配合单位：自治区党委网信办，工业和信息化厅、自治区大数据发展局、安全厅，各设区市人民政府，数字广西集团有限公司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落实网络安全等级保护制度，定期开展安全检查、风险评估工作，完善数字安全事件应急预案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构建面向东盟的数字产业合作发展新体系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建设中国-东盟鲲鹏产业生态基地，打造以鲲鹏产业为核心，面向东盟的数字产业集群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牵头单位：自治区大数据发展局、工业和信息化厅、科技厅、商务厅、通信管理局，配合单位：各设区市人民政府，中国—东盟信息港股份有限公司、数字广西集团有限公司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重点发展面向东盟国家的IT硬件产品、基于鲲鹏的东盟小语种基础软件产品，以及重点行业应用软件和解决方案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在东盟国家重点数字产业园区、基地等建设鲲鹏生态创新中心，推进鲲鹏技术体系在东盟国家重点行业和领域的融合应用落地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成立服务东盟的鲲鹏软硬件测评认证中心，推进面向东盟的鲲鹏产业支撑体系建设</w:t>
            </w:r>
          </w:p>
        </w:tc>
        <w:tc>
          <w:tcPr>
            <w:tcW w:w="3969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56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color w:val="000000" w:themeColor="text1"/>
                <w:spacing w:val="4"/>
                <w:sz w:val="32"/>
              </w:rPr>
              <w:t>推进重点数字产品和技术“走出去”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推进鲲鹏生态软硬件产品在重大项目信息化建设中的应用推广，以项目合作带动产业输出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牵头单位：自治区大数据发展局、科技厅、工业和信息化厅、商务厅、通信管理局，配合单位：各设区市人民政府，中国—东盟信息港股份有限公司、数字广西集团有限公司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打造面向东盟的数字产品“走出去”公共服务平台，提供鲲鹏产业的信息汇聚及供需对接服务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与东盟国家共同搭建数字技术联合创新平台，推进鲲鹏技术体系关键技术攻坚、科技成果转化、技术应用部署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59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color w:val="000000" w:themeColor="text1"/>
                <w:spacing w:val="4"/>
                <w:sz w:val="32"/>
              </w:rPr>
              <w:t>打造数字产业交流合作平台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依托中国—东盟博览会、中国—东盟信息港论坛、中国—东盟人工智能峰会等平台积极推广鲲鹏产品和服务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牵头单位：自治区大数据发展局、教育厅、科技厅、工业和信息化厅，配合单位：自治区有关部门，中国—东盟信息港股份有限公司、数字广西集团有限公司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发挥中国—东盟（华为）人工智能创新中心、中国—东盟网络安全交流培训中心、中国—东盟技术转移中心等载体作用，深化与东盟国家的鲲鹏产业与技术合作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发起成立中国—东盟鲲鹏生态产业联盟，加强与东盟各国相关企业和机构的对接交流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2022年12月底</w:t>
            </w:r>
          </w:p>
        </w:tc>
      </w:tr>
    </w:tbl>
    <w:p>
      <w:pPr>
        <w:jc w:val="center"/>
        <w:rPr>
          <w:color w:val="000000" w:themeColor="text1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08" w:charSpace="0"/>
        </w:sectPr>
      </w:pPr>
    </w:p>
    <w:p>
      <w:pPr>
        <w:pStyle w:val="3"/>
        <w:tabs>
          <w:tab w:val="left" w:pos="6450"/>
        </w:tabs>
        <w:adjustRightInd w:val="0"/>
        <w:snapToGrid w:val="0"/>
        <w:spacing w:before="204" w:beforeLines="50" w:line="390" w:lineRule="exact"/>
        <w:ind w:left="0" w:leftChars="0" w:right="300" w:rightChars="100" w:firstLine="0" w:firstLineChars="0"/>
        <w:jc w:val="both"/>
        <w:rPr>
          <w:rFonts w:ascii="Times New Roman" w:eastAsia="方正小标宋_GBK"/>
          <w:snapToGrid w:val="0"/>
          <w:color w:val="auto"/>
          <w:spacing w:val="-4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274" w:bottom="1440" w:left="1800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 w:ascii="仿宋_GB2312" w:eastAsia="仿宋_GB2312"/>
        <w:sz w:val="32"/>
        <w:szCs w:val="32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1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hint="eastAsia" w:ascii="仿宋_GB2312" w:eastAsia="仿宋_GB2312"/>
        <w:sz w:val="32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B5A"/>
    <w:rsid w:val="00017AB9"/>
    <w:rsid w:val="00067F34"/>
    <w:rsid w:val="000817FE"/>
    <w:rsid w:val="00090CAE"/>
    <w:rsid w:val="000B42FB"/>
    <w:rsid w:val="000B4FE9"/>
    <w:rsid w:val="000F0B8F"/>
    <w:rsid w:val="00107B22"/>
    <w:rsid w:val="00111C76"/>
    <w:rsid w:val="001A288F"/>
    <w:rsid w:val="001C70A3"/>
    <w:rsid w:val="0020077B"/>
    <w:rsid w:val="00227BF9"/>
    <w:rsid w:val="00247D4A"/>
    <w:rsid w:val="002574C1"/>
    <w:rsid w:val="00272807"/>
    <w:rsid w:val="002A297B"/>
    <w:rsid w:val="002D1620"/>
    <w:rsid w:val="002E1A73"/>
    <w:rsid w:val="002F19F3"/>
    <w:rsid w:val="0032644C"/>
    <w:rsid w:val="003C3783"/>
    <w:rsid w:val="003E71D5"/>
    <w:rsid w:val="0043072E"/>
    <w:rsid w:val="004522AF"/>
    <w:rsid w:val="00460D31"/>
    <w:rsid w:val="00472F08"/>
    <w:rsid w:val="004804B6"/>
    <w:rsid w:val="004B524D"/>
    <w:rsid w:val="004C2241"/>
    <w:rsid w:val="004D7C07"/>
    <w:rsid w:val="00506ED8"/>
    <w:rsid w:val="00545C4B"/>
    <w:rsid w:val="00550E3B"/>
    <w:rsid w:val="00564D77"/>
    <w:rsid w:val="0056561C"/>
    <w:rsid w:val="005B066D"/>
    <w:rsid w:val="005D6829"/>
    <w:rsid w:val="005E527D"/>
    <w:rsid w:val="005E5712"/>
    <w:rsid w:val="005E628F"/>
    <w:rsid w:val="005E7971"/>
    <w:rsid w:val="0061541C"/>
    <w:rsid w:val="00621A81"/>
    <w:rsid w:val="00636476"/>
    <w:rsid w:val="00660258"/>
    <w:rsid w:val="006673C9"/>
    <w:rsid w:val="006B2865"/>
    <w:rsid w:val="006E0271"/>
    <w:rsid w:val="006E2BA9"/>
    <w:rsid w:val="0075254D"/>
    <w:rsid w:val="00780B5A"/>
    <w:rsid w:val="0079740D"/>
    <w:rsid w:val="007A0333"/>
    <w:rsid w:val="007B74F7"/>
    <w:rsid w:val="007E02C4"/>
    <w:rsid w:val="00830F44"/>
    <w:rsid w:val="00862D20"/>
    <w:rsid w:val="00883638"/>
    <w:rsid w:val="008844A8"/>
    <w:rsid w:val="00885069"/>
    <w:rsid w:val="008A15A8"/>
    <w:rsid w:val="008A5F2B"/>
    <w:rsid w:val="009465DF"/>
    <w:rsid w:val="00947549"/>
    <w:rsid w:val="00952BC0"/>
    <w:rsid w:val="00967F70"/>
    <w:rsid w:val="0098160F"/>
    <w:rsid w:val="009F6B88"/>
    <w:rsid w:val="00A17BA0"/>
    <w:rsid w:val="00A649BD"/>
    <w:rsid w:val="00A8565D"/>
    <w:rsid w:val="00AC3FD8"/>
    <w:rsid w:val="00AD4B1B"/>
    <w:rsid w:val="00B12583"/>
    <w:rsid w:val="00B15F27"/>
    <w:rsid w:val="00B20F81"/>
    <w:rsid w:val="00B332BC"/>
    <w:rsid w:val="00B3484E"/>
    <w:rsid w:val="00B83821"/>
    <w:rsid w:val="00BE4095"/>
    <w:rsid w:val="00C0200B"/>
    <w:rsid w:val="00C06F27"/>
    <w:rsid w:val="00C27149"/>
    <w:rsid w:val="00C46C20"/>
    <w:rsid w:val="00C51D5D"/>
    <w:rsid w:val="00C54356"/>
    <w:rsid w:val="00C66CEF"/>
    <w:rsid w:val="00CC0D50"/>
    <w:rsid w:val="00D16186"/>
    <w:rsid w:val="00D2201A"/>
    <w:rsid w:val="00D51FA0"/>
    <w:rsid w:val="00D55C04"/>
    <w:rsid w:val="00D57A37"/>
    <w:rsid w:val="00D714B5"/>
    <w:rsid w:val="00D92D12"/>
    <w:rsid w:val="00DB6EE2"/>
    <w:rsid w:val="00DC0DAB"/>
    <w:rsid w:val="00DF10AD"/>
    <w:rsid w:val="00EB4CD8"/>
    <w:rsid w:val="00ED41B8"/>
    <w:rsid w:val="00F323F7"/>
    <w:rsid w:val="00F51DAD"/>
    <w:rsid w:val="00FB57B9"/>
    <w:rsid w:val="00FC0D15"/>
    <w:rsid w:val="00FC58B8"/>
    <w:rsid w:val="00FD0EF1"/>
    <w:rsid w:val="00FE2F1A"/>
    <w:rsid w:val="16BB4C7F"/>
    <w:rsid w:val="3F4E0D48"/>
    <w:rsid w:val="7F2F6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uiPriority w:val="99"/>
    <w:pPr>
      <w:jc w:val="left"/>
    </w:pPr>
  </w:style>
  <w:style w:type="paragraph" w:styleId="3">
    <w:name w:val="Body Text Indent 2"/>
    <w:basedOn w:val="1"/>
    <w:link w:val="17"/>
    <w:qFormat/>
    <w:uiPriority w:val="0"/>
    <w:pPr>
      <w:spacing w:line="560" w:lineRule="exact"/>
      <w:ind w:left="1197" w:leftChars="93" w:hanging="918" w:hangingChars="328"/>
    </w:pPr>
    <w:rPr>
      <w:rFonts w:ascii="方正仿宋_GBK" w:eastAsia="方正仿宋_GBK"/>
      <w:color w:val="000000"/>
      <w:sz w:val="28"/>
      <w:szCs w:val="28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link w:val="6"/>
    <w:qFormat/>
    <w:uiPriority w:val="99"/>
    <w:rPr>
      <w:sz w:val="18"/>
      <w:szCs w:val="18"/>
    </w:rPr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  <w:style w:type="character" w:customStyle="1" w:styleId="14">
    <w:name w:val="批注框文本 字符"/>
    <w:link w:val="4"/>
    <w:semiHidden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5">
    <w:name w:val="批注文字 字符"/>
    <w:link w:val="2"/>
    <w:uiPriority w:val="99"/>
    <w:rPr>
      <w:rFonts w:ascii="Times New Roman" w:hAnsi="Times New Roman" w:eastAsia="宋体"/>
      <w:kern w:val="2"/>
      <w:sz w:val="30"/>
      <w:szCs w:val="30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customStyle="1" w:styleId="17">
    <w:name w:val="正文文本缩进 2 字符"/>
    <w:basedOn w:val="9"/>
    <w:link w:val="3"/>
    <w:qFormat/>
    <w:uiPriority w:val="0"/>
    <w:rPr>
      <w:rFonts w:ascii="方正仿宋_GBK" w:hAnsi="Times New Roman" w:eastAsia="方正仿宋_GBK"/>
      <w:color w:val="000000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\Documents\&#33258;&#23450;&#20041;%20Office%20&#27169;&#26495;\&#26631;&#20934;&#25991;&#26723;&#27169;&#26495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标准文档模板.dotm</Template>
  <Pages>34</Pages>
  <Words>2407</Words>
  <Characters>13723</Characters>
  <Lines>114</Lines>
  <Paragraphs>32</Paragraphs>
  <TotalTime>257</TotalTime>
  <ScaleCrop>false</ScaleCrop>
  <LinksUpToDate>false</LinksUpToDate>
  <CharactersWithSpaces>16098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2019-12-19T01:03:00Z</dcterms:created>
  <dc:creator>hg</dc:creator>
  <cp:lastModifiedBy>文艺大蘑菇</cp:lastModifiedBy>
  <dcterms:modified xsi:type="dcterms:W3CDTF">2020-01-14T09:15:04Z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_2015_ms_pID_725343">
    <vt:lpwstr>(2)KV99RaooY26VlK3J6Tyy6pF3BgIMxCfJ3uWeAYVDeeXDBIcjMXjpK7zJoGGmyWHqSQQ/2LLo
KkpqmZUAhAmAogh7Fxywat0h1RVSNWYK7Ig+ScguggyZUKLtW8uCxnLN7CI6KpbeqaVvH2ZD
n8+3tc/WxA7KLL+Nbaw5c0zGWQxe7mLgB4TeCIqL3DRYCMzbXclUUcC4kXdcW03XXVnz6yP+
ZwoBCS958h/EU3sNCz</vt:lpwstr>
  </property>
  <property fmtid="{D5CDD505-2E9C-101B-9397-08002B2CF9AE}" pid="4" name="_2015_ms_pID_7253431">
    <vt:lpwstr>clX/SxDrTmI6lCNWwPizelWaCQw2rQtT7JqPLonOFCG0MQ7JuD2EbW
OF9VKvk07WJ+p/wWiKrScRRjteNWg2DewJgWRG7XuYO8AhM7DTWew0xHDTpuk12oXAHdrWuo
SA03jkS4A8ZZdNu9h8MINxjLEZek/9txsgtAcPpyjwaeuzXlkAh6uZGdr5EQzl9wpS0=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1576686186</vt:lpwstr>
  </property>
</Properties>
</file>