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6C23">
      <w:pPr>
        <w:spacing w:line="440" w:lineRule="exact"/>
        <w:jc w:val="right"/>
        <w:rPr>
          <w:rFonts w:ascii="仿宋_GB2312" w:hAnsi="Times New Roman" w:eastAsia="仿宋_GB2312"/>
          <w:sz w:val="32"/>
          <w:szCs w:val="32"/>
        </w:rPr>
      </w:pPr>
    </w:p>
    <w:p w14:paraId="5593CB8B">
      <w:pPr>
        <w:spacing w:line="440" w:lineRule="exact"/>
        <w:jc w:val="right"/>
        <w:rPr>
          <w:rFonts w:ascii="仿宋_GB2312" w:hAnsi="Times New Roman" w:eastAsia="仿宋_GB2312"/>
          <w:sz w:val="32"/>
          <w:szCs w:val="32"/>
        </w:rPr>
      </w:pPr>
    </w:p>
    <w:p w14:paraId="68F7FA9D">
      <w:pPr>
        <w:spacing w:line="440" w:lineRule="exact"/>
        <w:jc w:val="right"/>
        <w:rPr>
          <w:rFonts w:ascii="Times New Roman" w:hAnsi="Times New Roman" w:eastAsia="仿宋_GB2312"/>
          <w:sz w:val="28"/>
          <w:szCs w:val="28"/>
        </w:rPr>
      </w:pPr>
    </w:p>
    <w:p w14:paraId="57EE9F8A">
      <w:pPr>
        <w:spacing w:line="440" w:lineRule="exact"/>
        <w:jc w:val="right"/>
        <w:rPr>
          <w:rFonts w:ascii="仿宋_GB2312" w:hAnsi="Times New Roman" w:eastAsia="仿宋_GB2312"/>
          <w:sz w:val="32"/>
          <w:szCs w:val="32"/>
        </w:rPr>
      </w:pPr>
    </w:p>
    <w:p w14:paraId="4305592B">
      <w:pPr>
        <w:spacing w:line="440" w:lineRule="exact"/>
        <w:jc w:val="right"/>
        <w:rPr>
          <w:rFonts w:ascii="仿宋_GB2312" w:hAnsi="Times New Roman" w:eastAsia="仿宋_GB2312"/>
          <w:sz w:val="32"/>
          <w:szCs w:val="32"/>
        </w:rPr>
      </w:pPr>
    </w:p>
    <w:p w14:paraId="680B08D3">
      <w:pPr>
        <w:pStyle w:val="2"/>
        <w:rPr>
          <w:rFonts w:hint="eastAsia"/>
        </w:rPr>
      </w:pPr>
    </w:p>
    <w:tbl>
      <w:tblPr>
        <w:tblStyle w:val="8"/>
        <w:tblW w:w="9061" w:type="dxa"/>
        <w:jc w:val="center"/>
        <w:tblLayout w:type="autofit"/>
        <w:tblCellMar>
          <w:top w:w="0" w:type="dxa"/>
          <w:left w:w="108" w:type="dxa"/>
          <w:bottom w:w="0" w:type="dxa"/>
          <w:right w:w="108" w:type="dxa"/>
        </w:tblCellMar>
      </w:tblPr>
      <w:tblGrid>
        <w:gridCol w:w="7226"/>
        <w:gridCol w:w="1835"/>
      </w:tblGrid>
      <w:tr w14:paraId="5C184A79">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0A590CA2">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731A0524">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2788E21A">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5412F43D">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5DEE3056">
            <w:pPr>
              <w:jc w:val="center"/>
              <w:rPr>
                <w:rFonts w:hint="eastAsia" w:ascii="方正小标宋简体" w:eastAsia="方正小标宋简体"/>
                <w:color w:val="FF0000"/>
                <w:sz w:val="86"/>
                <w:szCs w:val="86"/>
              </w:rPr>
            </w:pPr>
          </w:p>
        </w:tc>
      </w:tr>
    </w:tbl>
    <w:p w14:paraId="57E08576">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4849EF96">
      <w:pPr>
        <w:shd w:val="clear" w:color="auto" w:fill="auto"/>
        <w:spacing w:line="400" w:lineRule="exact"/>
        <w:jc w:val="center"/>
        <w:rPr>
          <w:rFonts w:eastAsia="仿宋_GB2312"/>
          <w:color w:val="000000"/>
          <w:sz w:val="32"/>
          <w:szCs w:val="32"/>
        </w:rPr>
      </w:pPr>
    </w:p>
    <w:p w14:paraId="683DA6F8">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default" w:ascii="Times New Roman" w:hAnsi="Times New Roman" w:eastAsia="仿宋_GB2312" w:cs="Times New Roman"/>
          <w:bCs/>
          <w:snapToGrid w:val="0"/>
          <w:kern w:val="0"/>
          <w:sz w:val="32"/>
          <w:szCs w:val="32"/>
          <w:lang w:val="en" w:eastAsia="zh-CN"/>
        </w:rPr>
        <w:t>5</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lang w:val="en-US" w:eastAsia="zh-CN"/>
        </w:rPr>
        <w:t>3</w:t>
      </w:r>
      <w:r>
        <w:rPr>
          <w:rFonts w:ascii="Times New Roman" w:hAnsi="Times New Roman" w:eastAsia="仿宋_GB2312" w:cs="Times New Roman"/>
          <w:bCs/>
          <w:snapToGrid w:val="0"/>
          <w:kern w:val="0"/>
          <w:sz w:val="32"/>
          <w:szCs w:val="32"/>
        </w:rPr>
        <w:t>号</w:t>
      </w:r>
    </w:p>
    <w:p w14:paraId="621A9C34">
      <w:pPr>
        <w:shd w:val="clear" w:color="auto" w:fill="auto"/>
        <w:adjustRightInd w:val="0"/>
        <w:snapToGrid w:val="0"/>
        <w:spacing w:line="320" w:lineRule="exact"/>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7"/>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wwdD1AAAAAkBAAAPAAAAAAAAAAEAIAAAACIAAABkcnMvZG93bnJldi54bWxQSwECFAAUAAAA&#10;CACHTuJAJ1V1bPIBAADmAwAADgAAAAAAAAABACAAAAAjAQAAZHJzL2Uyb0RvYy54bWxQSwUGAAAA&#10;AAYABgBZAQAAhwUAAAAA&#10;">
                <v:fill on="f" focussize="0,0"/>
                <v:stroke weight="2pt" color="#FF0000" joinstyle="round"/>
                <v:imagedata o:title=""/>
                <o:lock v:ext="edit" aspectratio="f"/>
              </v:line>
            </w:pict>
          </mc:Fallback>
        </mc:AlternateContent>
      </w:r>
    </w:p>
    <w:p w14:paraId="2D014210">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jc w:val="center"/>
        <w:textAlignment w:val="auto"/>
        <w:rPr>
          <w:rFonts w:eastAsia="方正仿宋_GBK"/>
          <w:color w:val="000000"/>
          <w:sz w:val="32"/>
          <w:szCs w:val="32"/>
        </w:rPr>
      </w:pPr>
    </w:p>
    <w:p w14:paraId="0A0EC254">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广西壮族自治区科学技术厅 广西壮族自治区财政厅关于印发《广西壮族自治区中央引导</w:t>
      </w:r>
    </w:p>
    <w:p w14:paraId="6F728C25">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地方科技发展资金管理办法》的通知</w:t>
      </w:r>
    </w:p>
    <w:p w14:paraId="1DECD660">
      <w:pPr>
        <w:keepNext w:val="0"/>
        <w:keepLines w:val="0"/>
        <w:pageBreakBefore w:val="0"/>
        <w:widowControl w:val="0"/>
        <w:shd w:val="clear" w:color="auto" w:fill="auto"/>
        <w:kinsoku/>
        <w:wordWrap/>
        <w:overflowPunct/>
        <w:topLinePunct w:val="0"/>
        <w:autoSpaceDE/>
        <w:autoSpaceDN/>
        <w:bidi w:val="0"/>
        <w:adjustRightInd/>
        <w:snapToGrid/>
        <w:spacing w:line="460" w:lineRule="exact"/>
        <w:ind w:right="0" w:rightChars="0" w:firstLine="0" w:firstLineChars="0"/>
        <w:jc w:val="left"/>
        <w:textAlignment w:val="auto"/>
        <w:rPr>
          <w:rFonts w:hint="eastAsia" w:ascii="仿宋_GB2312" w:eastAsia="仿宋_GB2312"/>
          <w:color w:val="auto"/>
          <w:sz w:val="32"/>
          <w:szCs w:val="32"/>
          <w:lang w:eastAsia="zh-CN"/>
        </w:rPr>
      </w:pPr>
    </w:p>
    <w:p w14:paraId="07051CB5">
      <w:pPr>
        <w:keepNext w:val="0"/>
        <w:keepLines w:val="0"/>
        <w:pageBreakBefore w:val="0"/>
        <w:widowControl w:val="0"/>
        <w:shd w:val="clear" w:color="auto" w:fill="auto"/>
        <w:kinsoku/>
        <w:wordWrap/>
        <w:overflowPunct/>
        <w:topLinePunct w:val="0"/>
        <w:autoSpaceDE/>
        <w:autoSpaceDN/>
        <w:bidi w:val="0"/>
        <w:adjustRightInd/>
        <w:snapToGrid/>
        <w:spacing w:line="460" w:lineRule="exact"/>
        <w:ind w:right="0" w:rightChars="0"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各有关单位</w:t>
      </w:r>
      <w:r>
        <w:rPr>
          <w:rFonts w:hint="eastAsia" w:ascii="仿宋_GB2312" w:eastAsia="仿宋_GB2312"/>
          <w:color w:val="auto"/>
          <w:sz w:val="32"/>
          <w:szCs w:val="32"/>
        </w:rPr>
        <w:t>：</w:t>
      </w:r>
    </w:p>
    <w:p w14:paraId="3FDF468F">
      <w:pPr>
        <w:keepNext w:val="0"/>
        <w:keepLines w:val="0"/>
        <w:pageBreakBefore w:val="0"/>
        <w:widowControl w:val="0"/>
        <w:shd w:val="clear" w:color="auto" w:fill="auto"/>
        <w:kinsoku/>
        <w:wordWrap/>
        <w:overflowPunct/>
        <w:topLinePunct w:val="0"/>
        <w:autoSpaceDE/>
        <w:autoSpaceDN/>
        <w:bidi w:val="0"/>
        <w:adjustRightInd/>
        <w:snapToGrid/>
        <w:spacing w:line="460" w:lineRule="exact"/>
        <w:ind w:right="0" w:rightChars="0" w:firstLine="640" w:firstLineChars="200"/>
        <w:jc w:val="left"/>
        <w:textAlignment w:val="auto"/>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现将《广西壮族自治区中央引导地方科技发展资金管理办法》印发你们，请认真贯彻执行。</w:t>
      </w:r>
    </w:p>
    <w:p w14:paraId="42644B29">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left"/>
        <w:textAlignment w:val="auto"/>
        <w:rPr>
          <w:rFonts w:hint="default" w:ascii="仿宋_GB2312" w:eastAsia="仿宋_GB2312"/>
          <w:color w:val="auto"/>
          <w:sz w:val="32"/>
          <w:szCs w:val="32"/>
          <w:lang w:val="en-US" w:eastAsia="zh-CN"/>
        </w:rPr>
      </w:pPr>
    </w:p>
    <w:p w14:paraId="1B127943">
      <w:pPr>
        <w:pStyle w:val="2"/>
        <w:keepNext w:val="0"/>
        <w:keepLines w:val="0"/>
        <w:pageBreakBefore w:val="0"/>
        <w:widowControl w:val="0"/>
        <w:kinsoku/>
        <w:wordWrap/>
        <w:overflowPunct/>
        <w:topLinePunct w:val="0"/>
        <w:bidi w:val="0"/>
        <w:snapToGrid/>
        <w:spacing w:line="560" w:lineRule="exact"/>
        <w:rPr>
          <w:rFonts w:hint="default"/>
          <w:lang w:val="en-US" w:eastAsia="zh-CN"/>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082"/>
        <w:gridCol w:w="283"/>
        <w:gridCol w:w="4139"/>
      </w:tblGrid>
      <w:tr w14:paraId="1981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jc w:val="center"/>
        </w:trPr>
        <w:tc>
          <w:tcPr>
            <w:tcW w:w="4082" w:type="dxa"/>
            <w:tcBorders>
              <w:tl2br w:val="nil"/>
              <w:tr2bl w:val="nil"/>
            </w:tcBorders>
            <w:noWrap w:val="0"/>
            <w:vAlign w:val="top"/>
          </w:tcPr>
          <w:p w14:paraId="2600744D">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z w:val="32"/>
                <w:szCs w:val="32"/>
              </w:rPr>
              <w:t>广西壮族自治区科学技术厅</w:t>
            </w:r>
          </w:p>
        </w:tc>
        <w:tc>
          <w:tcPr>
            <w:tcW w:w="283" w:type="dxa"/>
            <w:tcBorders>
              <w:tl2br w:val="nil"/>
              <w:tr2bl w:val="nil"/>
            </w:tcBorders>
            <w:noWrap w:val="0"/>
            <w:vAlign w:val="top"/>
          </w:tcPr>
          <w:p w14:paraId="4A4E56EE">
            <w:pPr>
              <w:pStyle w:val="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4139" w:type="dxa"/>
            <w:tcBorders>
              <w:tl2br w:val="nil"/>
              <w:tr2bl w:val="nil"/>
            </w:tcBorders>
            <w:noWrap w:val="0"/>
            <w:vAlign w:val="top"/>
          </w:tcPr>
          <w:p w14:paraId="2153E4FC">
            <w:pPr>
              <w:pStyle w:val="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财政厅</w:t>
            </w:r>
          </w:p>
        </w:tc>
      </w:tr>
    </w:tbl>
    <w:p w14:paraId="23069394">
      <w:pPr>
        <w:keepNext w:val="0"/>
        <w:keepLines w:val="0"/>
        <w:pageBreakBefore w:val="0"/>
        <w:widowControl w:val="0"/>
        <w:shd w:val="clear" w:color="auto" w:fill="auto"/>
        <w:kinsoku/>
        <w:wordWrap w:val="0"/>
        <w:overflowPunct/>
        <w:topLinePunct w:val="0"/>
        <w:autoSpaceDE/>
        <w:autoSpaceDN/>
        <w:bidi w:val="0"/>
        <w:adjustRightInd/>
        <w:snapToGrid/>
        <w:spacing w:line="560" w:lineRule="exact"/>
        <w:ind w:right="0" w:rightChars="0"/>
        <w:jc w:val="right"/>
        <w:textAlignment w:val="auto"/>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26</w:t>
      </w:r>
      <w:r>
        <w:rPr>
          <w:rFonts w:ascii="Times New Roman" w:hAnsi="Times New Roman" w:eastAsia="仿宋_GB2312"/>
          <w:color w:val="auto"/>
          <w:sz w:val="32"/>
          <w:szCs w:val="32"/>
        </w:rPr>
        <w:t>日</w:t>
      </w:r>
      <w:r>
        <w:rPr>
          <w:rFonts w:hint="eastAsia" w:ascii="Times New Roman" w:hAnsi="Times New Roman" w:eastAsia="仿宋_GB2312"/>
          <w:color w:val="auto"/>
          <w:spacing w:val="-6"/>
          <w:sz w:val="32"/>
          <w:szCs w:val="32"/>
          <w:lang w:val="en-US" w:eastAsia="zh-CN"/>
        </w:rPr>
        <w:t xml:space="preserve">   </w:t>
      </w:r>
      <w:r>
        <w:rPr>
          <w:rFonts w:hint="eastAsia" w:ascii="Times New Roman" w:hAnsi="Times New Roman" w:eastAsia="仿宋_GB2312"/>
          <w:color w:val="auto"/>
          <w:sz w:val="32"/>
          <w:szCs w:val="32"/>
          <w:lang w:val="en-US" w:eastAsia="zh-CN"/>
        </w:rPr>
        <w:t xml:space="preserve">   </w:t>
      </w:r>
    </w:p>
    <w:p w14:paraId="13D99F68">
      <w:pPr>
        <w:keepNext w:val="0"/>
        <w:keepLines w:val="0"/>
        <w:pageBreakBefore w:val="0"/>
        <w:widowControl w:val="0"/>
        <w:shd w:val="clear" w:color="auto" w:fill="auto"/>
        <w:kinsoku/>
        <w:wordWrap w:val="0"/>
        <w:overflowPunct/>
        <w:topLinePunct w:val="0"/>
        <w:autoSpaceDE/>
        <w:autoSpaceDN/>
        <w:bidi w:val="0"/>
        <w:adjustRightInd/>
        <w:snapToGrid/>
        <w:spacing w:before="313" w:beforeLines="100" w:line="460" w:lineRule="exact"/>
        <w:ind w:right="0" w:rightChars="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此件公开发布</w:t>
      </w:r>
      <w:r>
        <w:rPr>
          <w:rFonts w:hint="eastAsia" w:ascii="Times New Roman" w:hAnsi="Times New Roman" w:eastAsia="仿宋_GB2312"/>
          <w:color w:val="auto"/>
          <w:sz w:val="32"/>
          <w:szCs w:val="32"/>
        </w:rPr>
        <w:t>）</w:t>
      </w:r>
    </w:p>
    <w:p w14:paraId="61F6821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0" w:lineRule="exact"/>
        <w:ind w:right="0" w:rightChars="0" w:firstLine="0" w:firstLineChars="0"/>
        <w:jc w:val="left"/>
        <w:textAlignment w:val="auto"/>
        <w:rPr>
          <w:rFonts w:hint="eastAsia" w:ascii="黑体" w:hAnsi="黑体" w:eastAsia="黑体" w:cs="黑体"/>
          <w:color w:val="auto"/>
          <w:sz w:val="32"/>
          <w:szCs w:val="32"/>
          <w:lang w:eastAsia="zh-CN"/>
        </w:rPr>
        <w:sectPr>
          <w:footerReference r:id="rId3" w:type="default"/>
          <w:pgSz w:w="11906" w:h="16838"/>
          <w:pgMar w:top="2098" w:right="1531" w:bottom="1417" w:left="1531"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3AEEB5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53EA659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广西壮族自治区中央引导地方科技发展</w:t>
      </w:r>
    </w:p>
    <w:p w14:paraId="4832431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auto"/>
          <w:sz w:val="44"/>
          <w:szCs w:val="44"/>
          <w:lang w:val="en-US" w:eastAsia="zh-CN"/>
        </w:rPr>
        <w:t>资金管理办法</w:t>
      </w:r>
    </w:p>
    <w:p w14:paraId="638F517B">
      <w:pPr>
        <w:keepNext w:val="0"/>
        <w:keepLines w:val="0"/>
        <w:pageBreakBefore w:val="0"/>
        <w:widowControl w:val="0"/>
        <w:shd w:val="clear" w:color="auto" w:fill="auto"/>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Times New Roman" w:hAnsi="Times New Roman" w:eastAsia="仿宋_GB2312"/>
          <w:color w:val="auto"/>
          <w:sz w:val="32"/>
          <w:szCs w:val="32"/>
        </w:rPr>
      </w:pPr>
    </w:p>
    <w:p w14:paraId="0228D635">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hint="eastAsia" w:ascii="方正黑体_GBK" w:hAnsi="宋体" w:eastAsia="方正黑体_GBK" w:cs="宋体"/>
          <w:color w:val="000000"/>
          <w:kern w:val="0"/>
          <w:sz w:val="32"/>
          <w:szCs w:val="32"/>
          <w:shd w:val="clear" w:color="auto" w:fill="FFFFFF"/>
        </w:rPr>
      </w:pPr>
      <w:r>
        <w:rPr>
          <w:rFonts w:hint="eastAsia" w:ascii="方正黑体_GBK" w:hAnsi="宋体" w:eastAsia="方正黑体_GBK" w:cs="宋体"/>
          <w:color w:val="000000"/>
          <w:kern w:val="0"/>
          <w:sz w:val="32"/>
          <w:szCs w:val="32"/>
          <w:shd w:val="clear" w:color="auto" w:fill="FFFFFF"/>
        </w:rPr>
        <w:t>第一章  总  则</w:t>
      </w:r>
    </w:p>
    <w:p w14:paraId="04DAF57F">
      <w:pPr>
        <w:pStyle w:val="2"/>
        <w:keepNext w:val="0"/>
        <w:keepLines w:val="0"/>
        <w:pageBreakBefore w:val="0"/>
        <w:widowControl w:val="0"/>
        <w:shd w:val="clear" w:color="auto" w:fill="auto"/>
        <w:kinsoku/>
        <w:wordWrap/>
        <w:overflowPunct/>
        <w:topLinePunct w:val="0"/>
        <w:autoSpaceDE/>
        <w:autoSpaceDN/>
        <w:bidi w:val="0"/>
        <w:spacing w:line="580" w:lineRule="exact"/>
        <w:rPr>
          <w:sz w:val="32"/>
          <w:szCs w:val="32"/>
        </w:rPr>
      </w:pPr>
    </w:p>
    <w:p w14:paraId="055150E2">
      <w:pPr>
        <w:keepNext w:val="0"/>
        <w:keepLines w:val="0"/>
        <w:pageBreakBefore w:val="0"/>
        <w:widowControl w:val="0"/>
        <w:shd w:val="clear" w:color="auto" w:fill="auto"/>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第一</w:t>
      </w:r>
      <w:r>
        <w:rPr>
          <w:rFonts w:hint="eastAsia" w:ascii="方正黑体_GBK" w:hAnsi="黑体" w:eastAsia="方正黑体_GBK" w:cs="仿宋_GB2312"/>
          <w:kern w:val="0"/>
          <w:sz w:val="32"/>
          <w:szCs w:val="32"/>
          <w:shd w:val="clear" w:color="auto" w:fill="FFFFFF"/>
        </w:rPr>
        <w:t>条</w:t>
      </w: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为规范中央引导地方科技发展资金（以下简称“引导资金”）管理，提高</w:t>
      </w:r>
      <w:r>
        <w:rPr>
          <w:rFonts w:hint="eastAsia" w:ascii="仿宋_GB2312" w:hAnsi="仿宋_GB2312" w:eastAsia="仿宋_GB2312" w:cs="仿宋_GB2312"/>
          <w:kern w:val="0"/>
          <w:sz w:val="32"/>
          <w:szCs w:val="32"/>
          <w:shd w:val="clear" w:color="auto" w:fill="FFFFFF"/>
          <w:lang w:eastAsia="zh-CN"/>
        </w:rPr>
        <w:t>引导</w:t>
      </w:r>
      <w:r>
        <w:rPr>
          <w:rFonts w:hint="eastAsia" w:ascii="仿宋_GB2312" w:hAnsi="仿宋_GB2312" w:eastAsia="仿宋_GB2312" w:cs="仿宋_GB2312"/>
          <w:kern w:val="0"/>
          <w:sz w:val="32"/>
          <w:szCs w:val="32"/>
          <w:shd w:val="clear" w:color="auto" w:fill="FFFFFF"/>
        </w:rPr>
        <w:t>资金使用效益，推动</w:t>
      </w:r>
      <w:r>
        <w:rPr>
          <w:rFonts w:hint="eastAsia" w:ascii="仿宋_GB2312" w:hAnsi="仿宋_GB2312" w:eastAsia="仿宋_GB2312" w:cs="仿宋_GB2312"/>
          <w:kern w:val="0"/>
          <w:sz w:val="32"/>
          <w:szCs w:val="32"/>
          <w:shd w:val="clear" w:color="auto" w:fill="FFFFFF"/>
          <w:lang w:val="en" w:eastAsia="zh-CN"/>
        </w:rPr>
        <w:t>广西壮族自治区（以下称广西）</w:t>
      </w:r>
      <w:r>
        <w:rPr>
          <w:rFonts w:hint="eastAsia" w:ascii="仿宋_GB2312" w:hAnsi="仿宋_GB2312" w:eastAsia="仿宋_GB2312" w:cs="仿宋_GB2312"/>
          <w:kern w:val="0"/>
          <w:sz w:val="32"/>
          <w:szCs w:val="32"/>
          <w:shd w:val="clear" w:color="auto" w:fill="FFFFFF"/>
        </w:rPr>
        <w:t>科技创新</w:t>
      </w:r>
      <w:r>
        <w:rPr>
          <w:rFonts w:hint="eastAsia" w:ascii="仿宋_GB2312" w:hAnsi="仿宋_GB2312" w:eastAsia="仿宋_GB2312" w:cs="仿宋_GB2312"/>
          <w:kern w:val="0"/>
          <w:sz w:val="32"/>
          <w:szCs w:val="32"/>
          <w:shd w:val="clear" w:color="auto" w:fill="FFFFFF"/>
          <w:lang w:eastAsia="zh-CN"/>
        </w:rPr>
        <w:t>工作发展</w:t>
      </w:r>
      <w:r>
        <w:rPr>
          <w:rFonts w:hint="eastAsia" w:ascii="仿宋_GB2312" w:hAnsi="仿宋_GB2312" w:eastAsia="仿宋_GB2312" w:cs="仿宋_GB2312"/>
          <w:kern w:val="0"/>
          <w:sz w:val="32"/>
          <w:szCs w:val="32"/>
          <w:shd w:val="clear" w:color="auto" w:fill="FFFFFF"/>
        </w:rPr>
        <w:t>，根据《中央引导地方科技发展资金管理办法》（财</w:t>
      </w:r>
      <w:r>
        <w:rPr>
          <w:rFonts w:hint="default" w:ascii="Times New Roman" w:hAnsi="Times New Roman" w:eastAsia="仿宋_GB2312" w:cs="Times New Roman"/>
          <w:kern w:val="0"/>
          <w:sz w:val="32"/>
          <w:szCs w:val="32"/>
          <w:shd w:val="clear" w:color="auto" w:fill="FFFFFF"/>
        </w:rPr>
        <w:t>教〔2023〕276号）等有关规</w:t>
      </w:r>
      <w:r>
        <w:rPr>
          <w:rFonts w:hint="eastAsia" w:ascii="仿宋_GB2312" w:hAnsi="仿宋_GB2312" w:eastAsia="仿宋_GB2312" w:cs="仿宋_GB2312"/>
          <w:kern w:val="0"/>
          <w:sz w:val="32"/>
          <w:szCs w:val="32"/>
          <w:shd w:val="clear" w:color="auto" w:fill="FFFFFF"/>
        </w:rPr>
        <w:t>定，结合</w:t>
      </w:r>
      <w:r>
        <w:rPr>
          <w:rFonts w:hint="eastAsia" w:ascii="仿宋_GB2312" w:hAnsi="仿宋_GB2312" w:eastAsia="仿宋_GB2312" w:cs="仿宋_GB2312"/>
          <w:kern w:val="0"/>
          <w:sz w:val="32"/>
          <w:szCs w:val="32"/>
          <w:shd w:val="clear" w:color="auto" w:fill="FFFFFF"/>
          <w:lang w:eastAsia="zh-CN"/>
        </w:rPr>
        <w:t>广西</w:t>
      </w:r>
      <w:r>
        <w:rPr>
          <w:rFonts w:hint="eastAsia" w:ascii="仿宋_GB2312" w:hAnsi="仿宋_GB2312" w:eastAsia="仿宋_GB2312" w:cs="仿宋_GB2312"/>
          <w:kern w:val="0"/>
          <w:sz w:val="32"/>
          <w:szCs w:val="32"/>
          <w:shd w:val="clear" w:color="auto" w:fill="FFFFFF"/>
        </w:rPr>
        <w:t>实际，制定本办法。</w:t>
      </w:r>
    </w:p>
    <w:p w14:paraId="5849C41A">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第二条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 xml:space="preserve"> 本办法所称引导资金，</w:t>
      </w:r>
      <w:r>
        <w:rPr>
          <w:rFonts w:hint="eastAsia" w:ascii="仿宋_GB2312" w:hAnsi="仿宋_GB2312" w:eastAsia="仿宋_GB2312" w:cs="仿宋_GB2312"/>
          <w:kern w:val="0"/>
          <w:sz w:val="32"/>
          <w:szCs w:val="32"/>
          <w:shd w:val="clear" w:color="auto" w:fill="FFFFFF"/>
          <w:lang w:val="en-US" w:eastAsia="zh-CN"/>
        </w:rPr>
        <w:t>是指中央财政</w:t>
      </w:r>
      <w:r>
        <w:rPr>
          <w:rFonts w:hint="eastAsia" w:ascii="仿宋_GB2312" w:hAnsi="仿宋_GB2312" w:eastAsia="仿宋_GB2312" w:cs="仿宋_GB2312"/>
          <w:kern w:val="0"/>
          <w:sz w:val="32"/>
          <w:szCs w:val="32"/>
          <w:shd w:val="clear" w:color="auto" w:fill="FFFFFF"/>
        </w:rPr>
        <w:t>用于支持和引导</w:t>
      </w:r>
      <w:r>
        <w:rPr>
          <w:rFonts w:hint="eastAsia" w:ascii="仿宋_GB2312" w:hAnsi="仿宋_GB2312" w:eastAsia="仿宋_GB2312" w:cs="仿宋_GB2312"/>
          <w:kern w:val="0"/>
          <w:sz w:val="32"/>
          <w:szCs w:val="32"/>
          <w:shd w:val="clear" w:color="auto" w:fill="FFFFFF"/>
          <w:lang w:eastAsia="zh-CN"/>
        </w:rPr>
        <w:t>广西</w:t>
      </w:r>
      <w:r>
        <w:rPr>
          <w:rFonts w:hint="eastAsia" w:ascii="仿宋_GB2312" w:hAnsi="仿宋_GB2312" w:eastAsia="仿宋_GB2312" w:cs="仿宋_GB2312"/>
          <w:kern w:val="0"/>
          <w:sz w:val="32"/>
          <w:szCs w:val="32"/>
          <w:shd w:val="clear" w:color="auto" w:fill="FFFFFF"/>
        </w:rPr>
        <w:t>落实国家创新驱动发展战略和科技改革发展政策、优化区域科技创新环境、提升区域科技创新能力、推动区域协调发展</w:t>
      </w:r>
      <w:r>
        <w:rPr>
          <w:rFonts w:hint="eastAsia" w:ascii="仿宋_GB2312" w:hAnsi="仿宋_GB2312" w:eastAsia="仿宋_GB2312" w:cs="仿宋_GB2312"/>
          <w:kern w:val="0"/>
          <w:sz w:val="32"/>
          <w:szCs w:val="32"/>
          <w:shd w:val="clear" w:color="auto" w:fill="FFFFFF"/>
          <w:lang w:val="en-US" w:eastAsia="zh-CN"/>
        </w:rPr>
        <w:t>的共同财政事权转移支付资金。</w:t>
      </w:r>
    </w:p>
    <w:p w14:paraId="6E17F004">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三</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黑体" w:hAnsi="黑体" w:eastAsia="黑体" w:cs="方正楷体_GBK"/>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引导资金由</w:t>
      </w:r>
      <w:r>
        <w:rPr>
          <w:rFonts w:hint="eastAsia" w:ascii="仿宋_GB2312" w:hAnsi="仿宋_GB2312" w:eastAsia="仿宋_GB2312" w:cs="仿宋_GB2312"/>
          <w:kern w:val="0"/>
          <w:sz w:val="32"/>
          <w:szCs w:val="32"/>
          <w:shd w:val="clear" w:color="auto" w:fill="FFFFFF"/>
          <w:lang w:val="en-US" w:eastAsia="zh-CN"/>
        </w:rPr>
        <w:t>自治区财政厅、科技</w:t>
      </w:r>
      <w:r>
        <w:rPr>
          <w:rFonts w:hint="eastAsia" w:ascii="仿宋_GB2312" w:hAnsi="仿宋_GB2312" w:eastAsia="仿宋_GB2312" w:cs="仿宋_GB2312"/>
          <w:kern w:val="0"/>
          <w:sz w:val="32"/>
          <w:szCs w:val="32"/>
          <w:shd w:val="clear" w:color="auto" w:fill="FFFFFF"/>
          <w:lang w:val="en" w:eastAsia="zh-CN"/>
        </w:rPr>
        <w:t>厅按照职责分工共同管理</w:t>
      </w:r>
      <w:r>
        <w:rPr>
          <w:rFonts w:hint="eastAsia" w:ascii="仿宋_GB2312" w:hAnsi="仿宋_GB2312" w:eastAsia="仿宋_GB2312" w:cs="仿宋_GB2312"/>
          <w:kern w:val="0"/>
          <w:sz w:val="32"/>
          <w:szCs w:val="32"/>
          <w:shd w:val="clear" w:color="auto" w:fill="FFFFFF"/>
        </w:rPr>
        <w:t>。</w:t>
      </w:r>
    </w:p>
    <w:p w14:paraId="0F710EAD">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 w:eastAsia="zh-CN"/>
        </w:rPr>
      </w:pPr>
      <w:r>
        <w:rPr>
          <w:rFonts w:hint="eastAsia" w:ascii="仿宋_GB2312" w:hAnsi="仿宋_GB2312" w:eastAsia="仿宋_GB2312" w:cs="仿宋_GB2312"/>
          <w:kern w:val="0"/>
          <w:sz w:val="32"/>
          <w:szCs w:val="32"/>
          <w:shd w:val="clear" w:color="auto" w:fill="FFFFFF"/>
          <w:lang w:val="en" w:eastAsia="zh-CN"/>
        </w:rPr>
        <w:t>自治区财政厅负责审核引导资金分配建议和绩效目标并下达预算，配合自治区科技厅制定引导资金实施方案，组织指导预算绩效管理工作等。</w:t>
      </w:r>
    </w:p>
    <w:p w14:paraId="249A5709">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 w:eastAsia="zh-CN"/>
        </w:rPr>
      </w:pPr>
      <w:r>
        <w:rPr>
          <w:rFonts w:hint="eastAsia" w:ascii="仿宋_GB2312" w:hAnsi="仿宋_GB2312" w:eastAsia="仿宋_GB2312" w:cs="仿宋_GB2312"/>
          <w:kern w:val="0"/>
          <w:sz w:val="32"/>
          <w:szCs w:val="32"/>
          <w:shd w:val="clear" w:color="auto" w:fill="FFFFFF"/>
          <w:lang w:val="en" w:eastAsia="zh-CN"/>
        </w:rPr>
        <w:t>自治区科技厅负责研究提出引导资金分配建议和区域绩效目标，组织引导资金项目申报、评审和立项，组织实施项目过程管理和监督，会同自治区财政厅编制上报年度引导资金实施方案和绩效自评报告，做好绩效评价结果应用等。</w:t>
      </w:r>
    </w:p>
    <w:p w14:paraId="72DC50C3">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四</w:t>
      </w:r>
      <w:r>
        <w:rPr>
          <w:rFonts w:hint="eastAsia" w:ascii="方正黑体_GBK" w:hAnsi="黑体" w:eastAsia="方正黑体_GBK" w:cs="方正楷体_GBK"/>
          <w:kern w:val="0"/>
          <w:sz w:val="32"/>
          <w:szCs w:val="32"/>
          <w:shd w:val="clear" w:color="auto" w:fill="FFFFFF"/>
        </w:rPr>
        <w:t>条</w:t>
      </w: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引导资金的管理和使用应当遵循以下原则：</w:t>
      </w:r>
    </w:p>
    <w:p w14:paraId="66DA319B">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（一）</w:t>
      </w:r>
      <w:r>
        <w:rPr>
          <w:rFonts w:hint="eastAsia" w:ascii="仿宋_GB2312" w:hAnsi="仿宋_GB2312" w:eastAsia="仿宋_GB2312" w:cs="仿宋_GB2312"/>
          <w:kern w:val="0"/>
          <w:sz w:val="32"/>
          <w:szCs w:val="32"/>
          <w:shd w:val="clear" w:color="auto" w:fill="FFFFFF"/>
          <w:lang w:val="en-US" w:eastAsia="zh-CN"/>
        </w:rPr>
        <w:t>坚决贯彻党中央、国务院和中央科技委员会重大决策部署，落实自治区党委、政府和自治区党委科技委员会部署安排，突出支持重点；</w:t>
      </w:r>
    </w:p>
    <w:p w14:paraId="5DC71A05">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（二）符合国家、广西相关科技创新政策和规划；</w:t>
      </w:r>
    </w:p>
    <w:p w14:paraId="33F029D4">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（三）优先支持各市申报科技创新项目，引导支持地方加大科技创新投入；</w:t>
      </w:r>
    </w:p>
    <w:p w14:paraId="4686D975">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（四）坚持统筹兼顾，结果导向，落实国家科技改革与发展重大政策，围绕广西“一区两地一园一通道”建设，深入实施科教兴桂战略、人才强桂战略、创新驱动发展战略，</w:t>
      </w:r>
      <w:r>
        <w:rPr>
          <w:rFonts w:hint="eastAsia" w:ascii="仿宋_GB2312" w:hAnsi="仿宋_GB2312" w:eastAsia="仿宋_GB2312" w:cs="仿宋_GB2312"/>
          <w:kern w:val="0"/>
          <w:sz w:val="32"/>
          <w:szCs w:val="32"/>
          <w:shd w:val="clear" w:color="auto" w:fill="FFFFFF"/>
          <w:lang w:val="en-US" w:eastAsia="zh-CN"/>
        </w:rPr>
        <w:t>加快建设高水平创新型广西，</w:t>
      </w:r>
      <w:r>
        <w:rPr>
          <w:rFonts w:hint="eastAsia" w:ascii="仿宋_GB2312" w:hAnsi="仿宋_GB2312" w:eastAsia="仿宋_GB2312" w:cs="仿宋_GB2312"/>
          <w:kern w:val="0"/>
          <w:sz w:val="32"/>
          <w:szCs w:val="32"/>
          <w:shd w:val="clear" w:color="auto" w:fill="FFFFFF"/>
          <w:lang w:eastAsia="zh-CN"/>
        </w:rPr>
        <w:t>扎实推进自主创新，提升科技创新能力；</w:t>
      </w:r>
    </w:p>
    <w:p w14:paraId="76F7A12E">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（五）坚持公开、公平、公正，主动接受社会监督；</w:t>
      </w:r>
    </w:p>
    <w:p w14:paraId="64B80A2D">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（六）实施全过程预算绩效管理，强化资金监管，充分发挥资金效益。</w:t>
      </w:r>
    </w:p>
    <w:p w14:paraId="7C0305DE">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ascii="方正黑体_GBK" w:hAnsi="宋体" w:eastAsia="方正黑体_GBK" w:cs="宋体"/>
          <w:color w:val="000000"/>
          <w:kern w:val="0"/>
          <w:sz w:val="32"/>
          <w:szCs w:val="32"/>
          <w:shd w:val="clear" w:color="auto" w:fill="FFFFFF"/>
        </w:rPr>
      </w:pPr>
    </w:p>
    <w:p w14:paraId="50344FC1">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hint="eastAsia" w:ascii="方正黑体_GBK" w:hAnsi="宋体" w:eastAsia="方正黑体_GBK" w:cs="宋体"/>
          <w:color w:val="000000"/>
          <w:kern w:val="0"/>
          <w:sz w:val="32"/>
          <w:szCs w:val="32"/>
          <w:shd w:val="clear" w:color="auto" w:fill="FFFFFF"/>
        </w:rPr>
      </w:pPr>
      <w:r>
        <w:rPr>
          <w:rFonts w:hint="eastAsia" w:ascii="方正黑体_GBK" w:hAnsi="宋体" w:eastAsia="方正黑体_GBK" w:cs="宋体"/>
          <w:color w:val="000000"/>
          <w:kern w:val="0"/>
          <w:sz w:val="32"/>
          <w:szCs w:val="32"/>
          <w:shd w:val="clear" w:color="auto" w:fill="FFFFFF"/>
        </w:rPr>
        <w:t>第二章  支持范围和</w:t>
      </w:r>
      <w:r>
        <w:rPr>
          <w:rFonts w:hint="eastAsia" w:ascii="方正黑体_GBK" w:hAnsi="宋体" w:eastAsia="方正黑体_GBK" w:cs="宋体"/>
          <w:color w:val="000000"/>
          <w:kern w:val="0"/>
          <w:sz w:val="32"/>
          <w:szCs w:val="32"/>
          <w:shd w:val="clear" w:color="auto" w:fill="FFFFFF"/>
          <w:lang w:eastAsia="zh-CN"/>
        </w:rPr>
        <w:t>资助</w:t>
      </w:r>
      <w:r>
        <w:rPr>
          <w:rFonts w:hint="eastAsia" w:ascii="方正黑体_GBK" w:hAnsi="宋体" w:eastAsia="方正黑体_GBK" w:cs="宋体"/>
          <w:color w:val="000000"/>
          <w:kern w:val="0"/>
          <w:sz w:val="32"/>
          <w:szCs w:val="32"/>
          <w:shd w:val="clear" w:color="auto" w:fill="FFFFFF"/>
        </w:rPr>
        <w:t>方式</w:t>
      </w:r>
    </w:p>
    <w:p w14:paraId="1241BDCA">
      <w:pPr>
        <w:pStyle w:val="2"/>
        <w:keepNext w:val="0"/>
        <w:keepLines w:val="0"/>
        <w:pageBreakBefore w:val="0"/>
        <w:widowControl w:val="0"/>
        <w:shd w:val="clear" w:color="auto" w:fill="auto"/>
        <w:kinsoku/>
        <w:wordWrap/>
        <w:overflowPunct/>
        <w:topLinePunct w:val="0"/>
        <w:autoSpaceDE/>
        <w:autoSpaceDN/>
        <w:bidi w:val="0"/>
        <w:spacing w:line="580" w:lineRule="exact"/>
        <w:rPr>
          <w:sz w:val="32"/>
          <w:szCs w:val="32"/>
        </w:rPr>
      </w:pPr>
    </w:p>
    <w:p w14:paraId="0CA57629">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第五条</w:t>
      </w:r>
      <w:r>
        <w:rPr>
          <w:rFonts w:hint="eastAsia" w:ascii="Times New Roman" w:hAnsi="Times New Roman" w:eastAsia="方正仿宋_GBK"/>
          <w:kern w:val="0"/>
          <w:sz w:val="32"/>
          <w:szCs w:val="32"/>
          <w:shd w:val="clear" w:color="auto" w:fill="FFFFFF"/>
        </w:rPr>
        <w:t xml:space="preserve"> </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引导资金支持范围</w:t>
      </w:r>
      <w:r>
        <w:rPr>
          <w:rFonts w:hint="eastAsia" w:ascii="仿宋_GB2312" w:hAnsi="仿宋_GB2312" w:eastAsia="仿宋_GB2312" w:cs="仿宋_GB2312"/>
          <w:kern w:val="0"/>
          <w:sz w:val="32"/>
          <w:szCs w:val="32"/>
          <w:shd w:val="clear" w:color="auto" w:fill="FFFFFF"/>
          <w:lang w:eastAsia="zh-CN"/>
        </w:rPr>
        <w:t>：</w:t>
      </w:r>
    </w:p>
    <w:p w14:paraId="40316C7D">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根据自治区年度工作重点，安排以下一类或几类项目。</w:t>
      </w:r>
    </w:p>
    <w:p w14:paraId="1DE6DEF6">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（一）重大科技任务。</w:t>
      </w:r>
      <w:r>
        <w:rPr>
          <w:rFonts w:hint="eastAsia" w:ascii="仿宋_GB2312" w:hAnsi="仿宋_GB2312" w:eastAsia="仿宋_GB2312" w:cs="仿宋_GB2312"/>
          <w:kern w:val="0"/>
          <w:sz w:val="32"/>
          <w:szCs w:val="32"/>
          <w:shd w:val="clear" w:color="auto" w:fill="FFFFFF"/>
          <w:lang w:eastAsia="zh-CN"/>
        </w:rPr>
        <w:t>落实</w:t>
      </w:r>
      <w:r>
        <w:rPr>
          <w:rFonts w:hint="eastAsia" w:ascii="仿宋_GB2312" w:hAnsi="仿宋_GB2312" w:eastAsia="仿宋_GB2312" w:cs="仿宋_GB2312"/>
          <w:kern w:val="0"/>
          <w:sz w:val="32"/>
          <w:szCs w:val="32"/>
          <w:shd w:val="clear" w:color="auto" w:fill="FFFFFF"/>
        </w:rPr>
        <w:t>中央科技委员会决策部署</w:t>
      </w:r>
      <w:r>
        <w:rPr>
          <w:rFonts w:hint="eastAsia" w:ascii="仿宋_GB2312" w:hAnsi="仿宋_GB2312" w:eastAsia="仿宋_GB2312" w:cs="仿宋_GB2312"/>
          <w:kern w:val="0"/>
          <w:sz w:val="32"/>
          <w:szCs w:val="32"/>
          <w:shd w:val="clear" w:color="auto" w:fill="FFFFFF"/>
          <w:lang w:eastAsia="zh-CN"/>
        </w:rPr>
        <w:t>及自治区党委科技委员会部署安排需要实施的</w:t>
      </w:r>
      <w:r>
        <w:rPr>
          <w:rFonts w:hint="eastAsia" w:ascii="仿宋_GB2312" w:hAnsi="仿宋_GB2312" w:eastAsia="仿宋_GB2312" w:cs="仿宋_GB2312"/>
          <w:kern w:val="0"/>
          <w:sz w:val="32"/>
          <w:szCs w:val="32"/>
          <w:shd w:val="clear" w:color="auto" w:fill="FFFFFF"/>
        </w:rPr>
        <w:t>重大科技任务。</w:t>
      </w:r>
    </w:p>
    <w:p w14:paraId="20D4E71B">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（二）区域科技创新体系建设。主要指</w:t>
      </w:r>
      <w:r>
        <w:rPr>
          <w:rFonts w:hint="eastAsia" w:ascii="仿宋_GB2312" w:hAnsi="仿宋_GB2312" w:eastAsia="仿宋_GB2312" w:cs="仿宋_GB2312"/>
          <w:kern w:val="0"/>
          <w:sz w:val="32"/>
          <w:szCs w:val="32"/>
          <w:shd w:val="clear" w:color="auto" w:fill="FFFFFF"/>
          <w:lang w:eastAsia="zh-CN"/>
        </w:rPr>
        <w:t>区域</w:t>
      </w:r>
      <w:r>
        <w:rPr>
          <w:rFonts w:hint="eastAsia" w:ascii="仿宋_GB2312" w:hAnsi="仿宋_GB2312" w:eastAsia="仿宋_GB2312" w:cs="仿宋_GB2312"/>
          <w:kern w:val="0"/>
          <w:sz w:val="32"/>
          <w:szCs w:val="32"/>
          <w:shd w:val="clear" w:color="auto" w:fill="FFFFFF"/>
        </w:rPr>
        <w:t>科技创新中心</w:t>
      </w:r>
      <w:r>
        <w:rPr>
          <w:rFonts w:hint="eastAsia" w:ascii="仿宋_GB2312" w:hAnsi="仿宋_GB2312" w:eastAsia="仿宋_GB2312" w:cs="仿宋_GB2312"/>
          <w:kern w:val="0"/>
          <w:sz w:val="32"/>
          <w:szCs w:val="32"/>
          <w:shd w:val="clear" w:color="auto" w:fill="FFFFFF"/>
          <w:lang w:eastAsia="zh-CN"/>
        </w:rPr>
        <w:t>、科技创新合作区</w:t>
      </w:r>
      <w:r>
        <w:rPr>
          <w:rFonts w:hint="eastAsia" w:ascii="仿宋_GB2312" w:hAnsi="仿宋_GB2312" w:eastAsia="仿宋_GB2312" w:cs="仿宋_GB2312"/>
          <w:kern w:val="0"/>
          <w:sz w:val="32"/>
          <w:szCs w:val="32"/>
          <w:shd w:val="clear" w:color="auto" w:fill="FFFFFF"/>
        </w:rPr>
        <w:t>建设，跨区域科技创新合作，以及</w:t>
      </w:r>
      <w:r>
        <w:rPr>
          <w:rFonts w:hint="eastAsia" w:ascii="仿宋_GB2312" w:hAnsi="仿宋_GB2312" w:eastAsia="仿宋_GB2312" w:cs="仿宋_GB2312"/>
          <w:kern w:val="0"/>
          <w:sz w:val="32"/>
          <w:szCs w:val="32"/>
          <w:shd w:val="clear" w:color="auto" w:fill="FFFFFF"/>
          <w:lang w:eastAsia="zh-CN"/>
        </w:rPr>
        <w:t>区市联动</w:t>
      </w:r>
      <w:r>
        <w:rPr>
          <w:rFonts w:hint="eastAsia" w:ascii="仿宋_GB2312" w:hAnsi="仿宋_GB2312" w:eastAsia="仿宋_GB2312" w:cs="仿宋_GB2312"/>
          <w:kern w:val="0"/>
          <w:sz w:val="32"/>
          <w:szCs w:val="32"/>
          <w:shd w:val="clear" w:color="auto" w:fill="FFFFFF"/>
        </w:rPr>
        <w:t>科技创新体系建设等。</w:t>
      </w:r>
    </w:p>
    <w:p w14:paraId="3337F0D1">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（三）科技创新基地建设。主要指根据</w:t>
      </w:r>
      <w:r>
        <w:rPr>
          <w:rFonts w:hint="eastAsia" w:ascii="仿宋_GB2312" w:hAnsi="仿宋_GB2312" w:eastAsia="仿宋_GB2312" w:cs="仿宋_GB2312"/>
          <w:kern w:val="0"/>
          <w:sz w:val="32"/>
          <w:szCs w:val="32"/>
          <w:shd w:val="clear" w:color="auto" w:fill="FFFFFF"/>
          <w:lang w:eastAsia="zh-CN"/>
        </w:rPr>
        <w:t>我区</w:t>
      </w:r>
      <w:r>
        <w:rPr>
          <w:rFonts w:hint="eastAsia" w:ascii="仿宋_GB2312" w:hAnsi="仿宋_GB2312" w:eastAsia="仿宋_GB2312" w:cs="仿宋_GB2312"/>
          <w:kern w:val="0"/>
          <w:sz w:val="32"/>
          <w:szCs w:val="32"/>
          <w:shd w:val="clear" w:color="auto" w:fill="FFFFFF"/>
        </w:rPr>
        <w:t>相关规划等建设的各类科技创新基地。</w:t>
      </w:r>
    </w:p>
    <w:p w14:paraId="4F4D7820">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（四）科技成果转移转化。主要指</w:t>
      </w:r>
      <w:r>
        <w:rPr>
          <w:rFonts w:hint="eastAsia" w:ascii="仿宋_GB2312" w:hAnsi="仿宋_GB2312" w:eastAsia="仿宋_GB2312" w:cs="仿宋_GB2312"/>
          <w:kern w:val="0"/>
          <w:sz w:val="32"/>
          <w:szCs w:val="32"/>
          <w:shd w:val="clear" w:color="auto" w:fill="FFFFFF"/>
          <w:lang w:eastAsia="zh-CN"/>
        </w:rPr>
        <w:t>结合我区实际，</w:t>
      </w:r>
      <w:r>
        <w:rPr>
          <w:rFonts w:hint="eastAsia" w:ascii="仿宋_GB2312" w:hAnsi="仿宋_GB2312" w:eastAsia="仿宋_GB2312" w:cs="仿宋_GB2312"/>
          <w:kern w:val="0"/>
          <w:sz w:val="32"/>
          <w:szCs w:val="32"/>
          <w:shd w:val="clear" w:color="auto" w:fill="FFFFFF"/>
        </w:rPr>
        <w:t>针对重点产业等开展的科技成果转移转化活动。</w:t>
      </w:r>
    </w:p>
    <w:p w14:paraId="5BD2024B">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（五）自由探索类基础研究。主要指聚焦探索未知的科学问题，结合基础研究区域布局，自主设立的旨在开展自由探索类基础研究的科技计划（专项、基金等）。</w:t>
      </w:r>
    </w:p>
    <w:p w14:paraId="4E6A7E9B">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 xml:space="preserve">第六条 </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支持重大科技任务、区域科技创新体系建设、科技创新基地建设、自由探索类基础研究的资金，可</w:t>
      </w:r>
      <w:r>
        <w:rPr>
          <w:rFonts w:hint="eastAsia" w:ascii="仿宋_GB2312" w:hAnsi="仿宋_GB2312" w:eastAsia="仿宋_GB2312" w:cs="仿宋_GB2312"/>
          <w:kern w:val="0"/>
          <w:sz w:val="32"/>
          <w:szCs w:val="32"/>
          <w:shd w:val="clear" w:color="auto" w:fill="FFFFFF"/>
          <w:lang w:eastAsia="zh-CN"/>
        </w:rPr>
        <w:t>以综合</w:t>
      </w:r>
      <w:r>
        <w:rPr>
          <w:rFonts w:hint="eastAsia" w:ascii="仿宋_GB2312" w:hAnsi="仿宋_GB2312" w:eastAsia="仿宋_GB2312" w:cs="仿宋_GB2312"/>
          <w:kern w:val="0"/>
          <w:sz w:val="32"/>
          <w:szCs w:val="32"/>
          <w:shd w:val="clear" w:color="auto" w:fill="FFFFFF"/>
        </w:rPr>
        <w:t>采用直接补助、后补助、以奖代补等投入方式。支持科技成果转移转化的资金，可</w:t>
      </w:r>
      <w:r>
        <w:rPr>
          <w:rFonts w:hint="eastAsia" w:ascii="仿宋_GB2312" w:hAnsi="仿宋_GB2312" w:eastAsia="仿宋_GB2312" w:cs="仿宋_GB2312"/>
          <w:kern w:val="0"/>
          <w:sz w:val="32"/>
          <w:szCs w:val="32"/>
          <w:shd w:val="clear" w:color="auto" w:fill="FFFFFF"/>
          <w:lang w:eastAsia="zh-CN"/>
        </w:rPr>
        <w:t>以综合</w:t>
      </w:r>
      <w:r>
        <w:rPr>
          <w:rFonts w:hint="eastAsia" w:ascii="仿宋_GB2312" w:hAnsi="仿宋_GB2312" w:eastAsia="仿宋_GB2312" w:cs="仿宋_GB2312"/>
          <w:kern w:val="0"/>
          <w:sz w:val="32"/>
          <w:szCs w:val="32"/>
          <w:shd w:val="clear" w:color="auto" w:fill="FFFFFF"/>
        </w:rPr>
        <w:t>采用风险补偿、后补助、创投引导等</w:t>
      </w:r>
      <w:r>
        <w:rPr>
          <w:rFonts w:hint="eastAsia" w:ascii="仿宋_GB2312" w:hAnsi="仿宋_GB2312" w:eastAsia="仿宋_GB2312" w:cs="仿宋_GB2312"/>
          <w:kern w:val="0"/>
          <w:sz w:val="32"/>
          <w:szCs w:val="32"/>
          <w:shd w:val="clear" w:color="auto" w:fill="FFFFFF"/>
          <w:lang w:eastAsia="zh-CN"/>
        </w:rPr>
        <w:t>财政</w:t>
      </w:r>
      <w:r>
        <w:rPr>
          <w:rFonts w:hint="eastAsia" w:ascii="仿宋_GB2312" w:hAnsi="仿宋_GB2312" w:eastAsia="仿宋_GB2312" w:cs="仿宋_GB2312"/>
          <w:kern w:val="0"/>
          <w:sz w:val="32"/>
          <w:szCs w:val="32"/>
          <w:shd w:val="clear" w:color="auto" w:fill="FFFFFF"/>
        </w:rPr>
        <w:t>投入方式。</w:t>
      </w:r>
    </w:p>
    <w:p w14:paraId="44829424">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上述支持方式，可根据实际需要调整优化。</w:t>
      </w:r>
    </w:p>
    <w:p w14:paraId="066067EF">
      <w:pPr>
        <w:keepNext w:val="0"/>
        <w:keepLines w:val="0"/>
        <w:pageBreakBefore w:val="0"/>
        <w:widowControl w:val="0"/>
        <w:numPr>
          <w:ilvl w:val="0"/>
          <w:numId w:val="0"/>
        </w:numPr>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七</w:t>
      </w:r>
      <w:r>
        <w:rPr>
          <w:rFonts w:hint="eastAsia" w:ascii="方正黑体_GBK" w:hAnsi="黑体" w:eastAsia="方正黑体_GBK" w:cs="方正楷体_GBK"/>
          <w:kern w:val="0"/>
          <w:sz w:val="32"/>
          <w:szCs w:val="32"/>
          <w:shd w:val="clear" w:color="auto" w:fill="FFFFFF"/>
        </w:rPr>
        <w:t>条</w:t>
      </w:r>
      <w:r>
        <w:rPr>
          <w:rFonts w:hint="eastAsia" w:ascii="方正仿宋_GBK" w:hAnsi="Times New Roman" w:eastAsia="方正仿宋_GBK" w:cs="仿宋_GB2312"/>
          <w:sz w:val="32"/>
          <w:szCs w:val="32"/>
        </w:rPr>
        <w:t xml:space="preserve"> </w:t>
      </w:r>
      <w:r>
        <w:rPr>
          <w:rFonts w:hint="eastAsia" w:ascii="方正仿宋_GBK" w:hAnsi="Times New Roman" w:eastAsia="方正仿宋_GBK" w:cs="仿宋_GB2312"/>
          <w:sz w:val="32"/>
          <w:szCs w:val="32"/>
          <w:lang w:val="en-US" w:eastAsia="zh-CN"/>
        </w:rPr>
        <w:t xml:space="preserve"> </w:t>
      </w:r>
      <w:r>
        <w:rPr>
          <w:rFonts w:hint="eastAsia" w:ascii="仿宋_GB2312" w:hAnsi="仿宋_GB2312" w:eastAsia="仿宋_GB2312" w:cs="仿宋_GB2312"/>
          <w:kern w:val="0"/>
          <w:sz w:val="32"/>
          <w:szCs w:val="32"/>
          <w:shd w:val="clear" w:color="auto" w:fill="FFFFFF"/>
        </w:rPr>
        <w:t>引导资金不得用于支付各种罚款、捐款、赞助、投资、偿还债务等支出，不得用于行政事业单位编制内在职人员工资性支出和离退休人员离退休费，以及国家规定禁止列支的其他支出。</w:t>
      </w:r>
    </w:p>
    <w:p w14:paraId="3FBF3C65">
      <w:pPr>
        <w:keepNext w:val="0"/>
        <w:keepLines w:val="0"/>
        <w:pageBreakBefore w:val="0"/>
        <w:widowControl w:val="0"/>
        <w:shd w:val="clear" w:color="auto" w:fill="auto"/>
        <w:tabs>
          <w:tab w:val="left" w:pos="1650"/>
        </w:tabs>
        <w:kinsoku/>
        <w:wordWrap/>
        <w:overflowPunct/>
        <w:topLinePunct w:val="0"/>
        <w:autoSpaceDE/>
        <w:autoSpaceDN/>
        <w:bidi w:val="0"/>
        <w:spacing w:line="580" w:lineRule="exact"/>
        <w:textAlignment w:val="auto"/>
        <w:rPr>
          <w:rFonts w:ascii="Times New Roman" w:hAnsi="Times New Roman" w:eastAsia="方正仿宋_GBK"/>
          <w:kern w:val="0"/>
          <w:sz w:val="32"/>
          <w:szCs w:val="32"/>
          <w:shd w:val="clear" w:color="auto" w:fill="FFFFFF"/>
        </w:rPr>
      </w:pPr>
    </w:p>
    <w:p w14:paraId="27C7FE66">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hint="eastAsia" w:ascii="方正黑体_GBK" w:hAnsi="宋体" w:eastAsia="方正黑体_GBK" w:cs="宋体"/>
          <w:color w:val="000000"/>
          <w:kern w:val="0"/>
          <w:sz w:val="32"/>
          <w:szCs w:val="32"/>
          <w:shd w:val="clear" w:color="auto" w:fill="FFFFFF"/>
          <w:lang w:eastAsia="zh-CN"/>
        </w:rPr>
      </w:pPr>
      <w:r>
        <w:rPr>
          <w:rFonts w:hint="eastAsia" w:ascii="方正黑体_GBK" w:hAnsi="宋体" w:eastAsia="方正黑体_GBK" w:cs="宋体"/>
          <w:color w:val="000000"/>
          <w:kern w:val="0"/>
          <w:sz w:val="32"/>
          <w:szCs w:val="32"/>
          <w:shd w:val="clear" w:color="auto" w:fill="FFFFFF"/>
        </w:rPr>
        <w:t xml:space="preserve">第三章  </w:t>
      </w:r>
      <w:r>
        <w:rPr>
          <w:rFonts w:hint="eastAsia" w:ascii="方正黑体_GBK" w:hAnsi="宋体" w:eastAsia="方正黑体_GBK" w:cs="宋体"/>
          <w:color w:val="000000"/>
          <w:kern w:val="0"/>
          <w:sz w:val="32"/>
          <w:szCs w:val="32"/>
          <w:shd w:val="clear" w:color="auto" w:fill="FFFFFF"/>
          <w:lang w:eastAsia="zh-CN"/>
        </w:rPr>
        <w:t>项目组织和</w:t>
      </w:r>
      <w:r>
        <w:rPr>
          <w:rFonts w:hint="eastAsia" w:ascii="方正黑体_GBK" w:hAnsi="宋体" w:eastAsia="方正黑体_GBK" w:cs="宋体"/>
          <w:color w:val="000000"/>
          <w:kern w:val="0"/>
          <w:sz w:val="32"/>
          <w:szCs w:val="32"/>
          <w:shd w:val="clear" w:color="auto" w:fill="FFFFFF"/>
        </w:rPr>
        <w:t>资金</w:t>
      </w:r>
      <w:r>
        <w:rPr>
          <w:rFonts w:hint="eastAsia" w:ascii="方正黑体_GBK" w:hAnsi="宋体" w:eastAsia="方正黑体_GBK" w:cs="宋体"/>
          <w:color w:val="000000"/>
          <w:kern w:val="0"/>
          <w:sz w:val="32"/>
          <w:szCs w:val="32"/>
          <w:shd w:val="clear" w:color="auto" w:fill="FFFFFF"/>
          <w:lang w:eastAsia="zh-CN"/>
        </w:rPr>
        <w:t>管理</w:t>
      </w:r>
    </w:p>
    <w:p w14:paraId="1E3D5637">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baseline"/>
        <w:rPr>
          <w:sz w:val="32"/>
          <w:szCs w:val="32"/>
        </w:rPr>
      </w:pPr>
    </w:p>
    <w:p w14:paraId="74FA1D03">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第八条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方正仿宋_GBK" w:hAnsi="Times New Roman" w:eastAsia="方正仿宋_GBK" w:cs="仿宋_GB2312"/>
          <w:sz w:val="32"/>
          <w:szCs w:val="32"/>
        </w:rPr>
        <w:t xml:space="preserve"> </w:t>
      </w:r>
      <w:r>
        <w:rPr>
          <w:rFonts w:hint="eastAsia" w:ascii="仿宋_GB2312" w:hAnsi="仿宋_GB2312" w:eastAsia="仿宋_GB2312" w:cs="仿宋_GB2312"/>
          <w:kern w:val="0"/>
          <w:sz w:val="32"/>
          <w:szCs w:val="32"/>
          <w:shd w:val="clear" w:color="auto" w:fill="FFFFFF"/>
        </w:rPr>
        <w:t>引导资金采取项目法分配。项目组织实施按照</w:t>
      </w:r>
      <w:r>
        <w:rPr>
          <w:rFonts w:hint="eastAsia" w:ascii="仿宋_GB2312" w:hAnsi="仿宋_GB2312" w:eastAsia="仿宋_GB2312" w:cs="仿宋_GB2312"/>
          <w:kern w:val="0"/>
          <w:sz w:val="32"/>
          <w:szCs w:val="32"/>
          <w:shd w:val="clear" w:color="auto" w:fill="FFFFFF"/>
          <w:lang w:eastAsia="zh-CN"/>
        </w:rPr>
        <w:t>自治区</w:t>
      </w:r>
      <w:r>
        <w:rPr>
          <w:rFonts w:hint="eastAsia" w:ascii="仿宋_GB2312" w:hAnsi="仿宋_GB2312" w:eastAsia="仿宋_GB2312" w:cs="仿宋_GB2312"/>
          <w:kern w:val="0"/>
          <w:sz w:val="32"/>
          <w:szCs w:val="32"/>
          <w:shd w:val="clear" w:color="auto" w:fill="FFFFFF"/>
        </w:rPr>
        <w:t>科技计划项目管理有关规定执行</w:t>
      </w:r>
      <w:r>
        <w:rPr>
          <w:rFonts w:hint="eastAsia" w:ascii="仿宋_GB2312" w:hAnsi="仿宋_GB2312" w:eastAsia="仿宋_GB2312" w:cs="仿宋_GB2312"/>
          <w:kern w:val="0"/>
          <w:sz w:val="32"/>
          <w:szCs w:val="32"/>
          <w:shd w:val="clear" w:color="auto" w:fill="FFFFFF"/>
          <w:lang w:eastAsia="zh-CN"/>
        </w:rPr>
        <w:t>，优先支持各市提升科技创新水平和能力。</w:t>
      </w:r>
    </w:p>
    <w:p w14:paraId="2BF2D286">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第九条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自治区科技厅会同自治区财政厅根据科技部、财政部要求，结合国家区域科技</w:t>
      </w:r>
      <w:r>
        <w:rPr>
          <w:rFonts w:hint="eastAsia" w:ascii="仿宋_GB2312" w:hAnsi="仿宋_GB2312" w:eastAsia="仿宋_GB2312" w:cs="仿宋_GB2312"/>
          <w:kern w:val="0"/>
          <w:sz w:val="32"/>
          <w:szCs w:val="32"/>
          <w:shd w:val="clear" w:color="auto" w:fill="FFFFFF"/>
        </w:rPr>
        <w:t>发展战略任务，根据</w:t>
      </w:r>
      <w:r>
        <w:rPr>
          <w:rFonts w:hint="eastAsia" w:ascii="仿宋_GB2312" w:hAnsi="仿宋_GB2312" w:eastAsia="仿宋_GB2312" w:cs="仿宋_GB2312"/>
          <w:kern w:val="0"/>
          <w:sz w:val="32"/>
          <w:szCs w:val="32"/>
          <w:shd w:val="clear" w:color="auto" w:fill="FFFFFF"/>
          <w:lang w:eastAsia="zh-CN"/>
        </w:rPr>
        <w:t>广西</w:t>
      </w:r>
      <w:r>
        <w:rPr>
          <w:rFonts w:hint="eastAsia" w:ascii="仿宋_GB2312" w:hAnsi="仿宋_GB2312" w:eastAsia="仿宋_GB2312" w:cs="仿宋_GB2312"/>
          <w:kern w:val="0"/>
          <w:sz w:val="32"/>
          <w:szCs w:val="32"/>
          <w:shd w:val="clear" w:color="auto" w:fill="FFFFFF"/>
        </w:rPr>
        <w:t>相关规划</w:t>
      </w:r>
      <w:r>
        <w:rPr>
          <w:rFonts w:hint="eastAsia" w:ascii="仿宋_GB2312" w:hAnsi="仿宋_GB2312" w:eastAsia="仿宋_GB2312" w:cs="仿宋_GB2312"/>
          <w:kern w:val="0"/>
          <w:sz w:val="32"/>
          <w:szCs w:val="32"/>
          <w:shd w:val="clear" w:color="auto" w:fill="FFFFFF"/>
          <w:lang w:eastAsia="zh-CN"/>
        </w:rPr>
        <w:t>、地方产业发展特色</w:t>
      </w:r>
      <w:r>
        <w:rPr>
          <w:rFonts w:hint="eastAsia" w:ascii="仿宋_GB2312" w:hAnsi="仿宋_GB2312" w:eastAsia="仿宋_GB2312" w:cs="仿宋_GB2312"/>
          <w:kern w:val="0"/>
          <w:sz w:val="32"/>
          <w:szCs w:val="32"/>
          <w:shd w:val="clear" w:color="auto" w:fill="FFFFFF"/>
        </w:rPr>
        <w:t>和年度重点任务，及时开展引导资金项目申报工作。</w:t>
      </w:r>
      <w:r>
        <w:rPr>
          <w:rFonts w:hint="eastAsia" w:ascii="仿宋_GB2312" w:hAnsi="仿宋_GB2312" w:eastAsia="仿宋_GB2312" w:cs="仿宋_GB2312"/>
          <w:kern w:val="0"/>
          <w:sz w:val="32"/>
          <w:szCs w:val="32"/>
          <w:shd w:val="clear" w:color="auto" w:fill="FFFFFF"/>
          <w:lang w:eastAsia="zh-CN"/>
        </w:rPr>
        <w:t>项目申报指南应充分征求和听取各市意见，</w:t>
      </w:r>
      <w:r>
        <w:rPr>
          <w:rFonts w:hint="eastAsia" w:ascii="仿宋_GB2312" w:hAnsi="仿宋_GB2312" w:eastAsia="仿宋_GB2312" w:cs="仿宋_GB2312"/>
          <w:kern w:val="0"/>
          <w:sz w:val="32"/>
          <w:szCs w:val="32"/>
          <w:shd w:val="clear" w:color="auto" w:fill="FFFFFF"/>
          <w:lang w:val="en-US" w:eastAsia="zh-CN"/>
        </w:rPr>
        <w:t>对直接补助项目一般采取公开竞争方式确定项目承担单位，引导各设区市组织开展项目申报，同等条件下优先支持地方申报的项目；直接补助项目中涉及国家战略及特定领域重大科研攻关、平台建设、成果转化、区域创新体系建设的，可采取竞争择优等方式征集确定项目和项目承担单位。</w:t>
      </w:r>
    </w:p>
    <w:p w14:paraId="30A5A25D">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项目申报单位按照通知要求编制项目申报材料，对于采取直接补助方式的，主要内容包括实施主体、目标任务、经费预算、支持方式、实施期限、绩效目标等；对于后补助及其他支持方式的，由自治区科技厅在本办法原则下根据不同补助类型具体实施，经考核评估合格，可直接纳入引导资金支持范围。</w:t>
      </w:r>
    </w:p>
    <w:p w14:paraId="24307CC2">
      <w:pPr>
        <w:keepNext w:val="0"/>
        <w:keepLines w:val="0"/>
        <w:pageBreakBefore w:val="0"/>
        <w:widowControl w:val="0"/>
        <w:numPr>
          <w:ilvl w:val="0"/>
          <w:numId w:val="0"/>
        </w:numPr>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lang w:eastAsia="zh-CN"/>
        </w:rPr>
        <w:t>第十条</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项目申报单位应当据实、完整编报项目申报材料，对申报材料的真实性、准确性、完整性负责。项目推荐单位和部门按要求组织项目申报、初审、推荐等工作。</w:t>
      </w:r>
    </w:p>
    <w:p w14:paraId="55347B3C">
      <w:pPr>
        <w:keepNext w:val="0"/>
        <w:keepLines w:val="0"/>
        <w:pageBreakBefore w:val="0"/>
        <w:widowControl w:val="0"/>
        <w:numPr>
          <w:ilvl w:val="0"/>
          <w:numId w:val="0"/>
        </w:numPr>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第十一条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自治区科技厅制定评审方案，组织专家或委托第三方专业机构对申报的项目进行评审，综合项目申报单位的研发条件、项目可行性、绩效目标的合理性等因素明确评审标准等，按规定程序确定拟立项项目。</w:t>
      </w:r>
    </w:p>
    <w:p w14:paraId="512C1AF6">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第十</w:t>
      </w:r>
      <w:r>
        <w:rPr>
          <w:rFonts w:hint="eastAsia" w:ascii="方正黑体_GBK" w:hAnsi="黑体" w:eastAsia="方正黑体_GBK" w:cs="方正楷体_GBK"/>
          <w:kern w:val="0"/>
          <w:sz w:val="32"/>
          <w:szCs w:val="32"/>
          <w:shd w:val="clear" w:color="auto" w:fill="FFFFFF"/>
          <w:lang w:eastAsia="zh-CN"/>
        </w:rPr>
        <w:t>二</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方正黑体_GBK" w:hAnsi="黑体" w:eastAsia="方正黑体_GBK" w:cs="方正楷体_GBK"/>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val="en-US" w:eastAsia="zh-CN"/>
        </w:rPr>
        <w:t>自治区科技厅会同自治区财政厅，结合广西科技改革发展规划和有关政策，及时制定年度引导资金实施方案，随资金分配情况同时抄送财政部广西监管局，并报科技部、财政部备案。引导资金实施方案备案后不得随意调整。如需调整，应当将调整情况及原因报科技部、财政部备案，同时抄送财政部广西监管局。</w:t>
      </w:r>
    </w:p>
    <w:p w14:paraId="1315BEFE">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第十</w:t>
      </w:r>
      <w:r>
        <w:rPr>
          <w:rFonts w:hint="eastAsia" w:ascii="方正黑体_GBK" w:hAnsi="黑体" w:eastAsia="方正黑体_GBK" w:cs="方正楷体_GBK"/>
          <w:kern w:val="0"/>
          <w:sz w:val="32"/>
          <w:szCs w:val="32"/>
          <w:shd w:val="clear" w:color="auto" w:fill="FFFFFF"/>
          <w:lang w:eastAsia="zh-CN"/>
        </w:rPr>
        <w:t>三</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对拟分配到企业的引导资金，自治区科技厅、财政厅通过官方网站等媒介向社会公示，公示期一般</w:t>
      </w:r>
      <w:r>
        <w:rPr>
          <w:rFonts w:hint="default" w:ascii="Times New Roman" w:hAnsi="Times New Roman" w:eastAsia="仿宋_GB2312" w:cs="Times New Roman"/>
          <w:kern w:val="0"/>
          <w:sz w:val="32"/>
          <w:szCs w:val="32"/>
          <w:shd w:val="clear" w:color="auto" w:fill="FFFFFF"/>
          <w:lang w:val="en-US" w:eastAsia="zh-CN"/>
        </w:rPr>
        <w:t>不少于7日，</w:t>
      </w:r>
      <w:r>
        <w:rPr>
          <w:rFonts w:hint="eastAsia" w:ascii="仿宋_GB2312" w:hAnsi="仿宋_GB2312" w:eastAsia="仿宋_GB2312" w:cs="仿宋_GB2312"/>
          <w:kern w:val="0"/>
          <w:sz w:val="32"/>
          <w:szCs w:val="32"/>
          <w:shd w:val="clear" w:color="auto" w:fill="FFFFFF"/>
          <w:lang w:val="en-US" w:eastAsia="zh-CN"/>
        </w:rPr>
        <w:t>公示无异议后组织实施，涉及国家秘密的内容除外。</w:t>
      </w:r>
    </w:p>
    <w:p w14:paraId="5B3504B0">
      <w:pPr>
        <w:keepNext w:val="0"/>
        <w:keepLines w:val="0"/>
        <w:pageBreakBefore w:val="0"/>
        <w:widowControl w:val="0"/>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rPr>
        <w:t>第十</w:t>
      </w:r>
      <w:r>
        <w:rPr>
          <w:rFonts w:hint="eastAsia" w:ascii="方正黑体_GBK" w:hAnsi="黑体" w:eastAsia="方正黑体_GBK" w:cs="方正楷体_GBK"/>
          <w:kern w:val="0"/>
          <w:sz w:val="32"/>
          <w:szCs w:val="32"/>
          <w:shd w:val="clear" w:color="auto" w:fill="FFFFFF"/>
          <w:lang w:eastAsia="zh-CN"/>
        </w:rPr>
        <w:t>四</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方正黑体_GBK" w:hAnsi="黑体" w:eastAsia="方正黑体_GBK" w:cs="方正楷体_GBK"/>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引导</w:t>
      </w:r>
      <w:r>
        <w:rPr>
          <w:rFonts w:hint="eastAsia" w:ascii="仿宋_GB2312" w:hAnsi="仿宋_GB2312" w:eastAsia="仿宋_GB2312" w:cs="仿宋_GB2312"/>
          <w:kern w:val="0"/>
          <w:sz w:val="32"/>
          <w:szCs w:val="32"/>
          <w:shd w:val="clear" w:color="auto" w:fill="FFFFFF"/>
          <w:lang w:val="en-US" w:eastAsia="zh-CN"/>
        </w:rPr>
        <w:t>资金支付按照国库集中支付制度有关规定执行，对市县实施的项目，通过财政转移支付方式下达。属于政府采购管理范围的，按照政府采购法律制度规定执行。</w:t>
      </w:r>
    </w:p>
    <w:p w14:paraId="1DA110B0">
      <w:pPr>
        <w:keepNext w:val="0"/>
        <w:keepLines w:val="0"/>
        <w:pageBreakBefore w:val="0"/>
        <w:widowControl w:val="0"/>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kern w:val="0"/>
          <w:sz w:val="32"/>
          <w:szCs w:val="32"/>
          <w:shd w:val="clear" w:color="auto" w:fill="FFFFFF"/>
        </w:rPr>
      </w:pPr>
      <w:r>
        <w:rPr>
          <w:rFonts w:hint="eastAsia" w:ascii="方正黑体_GBK" w:hAnsi="黑体" w:eastAsia="方正黑体_GBK" w:cs="方正楷体_GBK"/>
          <w:kern w:val="0"/>
          <w:sz w:val="32"/>
          <w:szCs w:val="32"/>
          <w:shd w:val="clear" w:color="auto" w:fill="FFFFFF"/>
          <w:lang w:eastAsia="zh-CN"/>
        </w:rPr>
        <w:t>第十五条</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引导资金原则</w:t>
      </w:r>
      <w:r>
        <w:rPr>
          <w:rFonts w:hint="eastAsia" w:ascii="仿宋_GB2312" w:hAnsi="仿宋_GB2312" w:eastAsia="仿宋_GB2312" w:cs="仿宋_GB2312"/>
          <w:kern w:val="0"/>
          <w:sz w:val="32"/>
          <w:szCs w:val="32"/>
          <w:shd w:val="clear" w:color="auto" w:fill="FFFFFF"/>
          <w:lang w:val="en-US" w:eastAsia="zh-CN"/>
        </w:rPr>
        <w:t>上应当在</w:t>
      </w:r>
      <w:r>
        <w:rPr>
          <w:rFonts w:hint="eastAsia" w:ascii="仿宋_GB2312" w:hAnsi="仿宋_GB2312" w:eastAsia="仿宋_GB2312" w:cs="仿宋_GB2312"/>
          <w:kern w:val="0"/>
          <w:sz w:val="32"/>
          <w:szCs w:val="32"/>
          <w:shd w:val="clear" w:color="auto" w:fill="FFFFFF"/>
          <w:lang w:val="en" w:eastAsia="zh-CN"/>
        </w:rPr>
        <w:t>当</w:t>
      </w:r>
      <w:r>
        <w:rPr>
          <w:rFonts w:hint="default" w:ascii="Times New Roman" w:hAnsi="Times New Roman" w:eastAsia="仿宋_GB2312" w:cs="Times New Roman"/>
          <w:kern w:val="0"/>
          <w:sz w:val="32"/>
          <w:szCs w:val="32"/>
          <w:shd w:val="clear" w:color="auto" w:fill="FFFFFF"/>
          <w:lang w:val="en" w:eastAsia="zh-CN"/>
        </w:rPr>
        <w:t>年的12月31日之前</w:t>
      </w:r>
      <w:r>
        <w:rPr>
          <w:rFonts w:hint="eastAsia" w:ascii="仿宋_GB2312" w:hAnsi="仿宋_GB2312" w:eastAsia="仿宋_GB2312" w:cs="仿宋_GB2312"/>
          <w:kern w:val="0"/>
          <w:sz w:val="32"/>
          <w:szCs w:val="32"/>
          <w:shd w:val="clear" w:color="auto" w:fill="FFFFFF"/>
          <w:lang w:val="en-US" w:eastAsia="zh-CN"/>
        </w:rPr>
        <w:t>执行完毕，年度未支出的资金按照财政结转</w:t>
      </w:r>
      <w:r>
        <w:rPr>
          <w:rFonts w:hint="eastAsia" w:ascii="仿宋_GB2312" w:hAnsi="仿宋_GB2312" w:eastAsia="仿宋_GB2312" w:cs="仿宋_GB2312"/>
          <w:kern w:val="0"/>
          <w:sz w:val="32"/>
          <w:szCs w:val="32"/>
          <w:shd w:val="clear" w:color="auto" w:fill="FFFFFF"/>
        </w:rPr>
        <w:t>结余资金管理的相关规定处理。</w:t>
      </w:r>
    </w:p>
    <w:p w14:paraId="2108C73D">
      <w:pPr>
        <w:keepNext w:val="0"/>
        <w:keepLines w:val="0"/>
        <w:pageBreakBefore w:val="0"/>
        <w:widowControl w:val="0"/>
        <w:numPr>
          <w:ilvl w:val="0"/>
          <w:numId w:val="0"/>
        </w:numPr>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lang w:eastAsia="zh-CN"/>
        </w:rPr>
        <w:t>第十六条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各级财政部门、科技部门</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eastAsia="zh-CN"/>
        </w:rPr>
        <w:t>使用引导资金的单位</w:t>
      </w:r>
      <w:r>
        <w:rPr>
          <w:rFonts w:hint="eastAsia" w:ascii="仿宋_GB2312" w:hAnsi="仿宋_GB2312" w:eastAsia="仿宋_GB2312" w:cs="仿宋_GB2312"/>
          <w:kern w:val="0"/>
          <w:sz w:val="32"/>
          <w:szCs w:val="32"/>
          <w:shd w:val="clear" w:color="auto" w:fill="FFFFFF"/>
        </w:rPr>
        <w:t>应强化流程控制，依法合规使用资金，实行不相容岗位（职责）分离控制。</w:t>
      </w:r>
    </w:p>
    <w:p w14:paraId="004E659C">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lang w:eastAsia="zh-CN"/>
        </w:rPr>
        <w:t>第十七条</w:t>
      </w:r>
      <w:r>
        <w:rPr>
          <w:rFonts w:hint="eastAsia" w:ascii="Times New Roman" w:hAnsi="Times New Roman" w:eastAsia="方正仿宋_GBK"/>
          <w:color w:val="C00000"/>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各级财政、科技部门应当加强资金分配项目申报及使用管理。</w:t>
      </w:r>
      <w:r>
        <w:rPr>
          <w:rFonts w:hint="eastAsia" w:ascii="仿宋_GB2312" w:hAnsi="仿宋_GB2312" w:eastAsia="仿宋_GB2312" w:cs="仿宋_GB2312"/>
          <w:kern w:val="0"/>
          <w:sz w:val="32"/>
          <w:szCs w:val="32"/>
          <w:shd w:val="clear" w:color="auto" w:fill="FFFFFF"/>
        </w:rPr>
        <w:t>不符合法律、行政法规等规定，相关目标已经实现或实施成效差、绩效低的项目，以及已从中央基建投资渠道获得中央财政资金支持的项目，不得申请引导资金支持。</w:t>
      </w:r>
    </w:p>
    <w:p w14:paraId="2033DF76">
      <w:pPr>
        <w:keepNext w:val="0"/>
        <w:keepLines w:val="0"/>
        <w:pageBreakBefore w:val="0"/>
        <w:widowControl w:val="0"/>
        <w:shd w:val="clear" w:color="auto" w:fill="auto"/>
        <w:tabs>
          <w:tab w:val="left" w:pos="1650"/>
        </w:tabs>
        <w:kinsoku/>
        <w:wordWrap/>
        <w:overflowPunct/>
        <w:topLinePunct w:val="0"/>
        <w:autoSpaceDE/>
        <w:autoSpaceDN/>
        <w:bidi w:val="0"/>
        <w:spacing w:line="580" w:lineRule="exact"/>
        <w:textAlignment w:val="auto"/>
        <w:rPr>
          <w:rFonts w:ascii="Times New Roman" w:hAnsi="Times New Roman" w:eastAsia="方正仿宋_GBK"/>
          <w:kern w:val="0"/>
          <w:sz w:val="32"/>
          <w:szCs w:val="32"/>
          <w:shd w:val="clear" w:color="auto" w:fill="FFFFFF"/>
        </w:rPr>
      </w:pPr>
    </w:p>
    <w:p w14:paraId="12654A66">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hint="eastAsia" w:ascii="方正黑体_GBK" w:hAnsi="宋体" w:eastAsia="方正黑体_GBK" w:cs="宋体"/>
          <w:color w:val="000000"/>
          <w:kern w:val="0"/>
          <w:sz w:val="32"/>
          <w:szCs w:val="32"/>
          <w:shd w:val="clear" w:color="auto" w:fill="FFFFFF"/>
        </w:rPr>
      </w:pPr>
      <w:r>
        <w:rPr>
          <w:rFonts w:hint="eastAsia" w:ascii="方正黑体_GBK" w:hAnsi="宋体" w:eastAsia="方正黑体_GBK" w:cs="宋体"/>
          <w:color w:val="000000"/>
          <w:kern w:val="0"/>
          <w:sz w:val="32"/>
          <w:szCs w:val="32"/>
          <w:shd w:val="clear" w:color="auto" w:fill="FFFFFF"/>
        </w:rPr>
        <w:t>第四章  绩效管理和监督检查</w:t>
      </w:r>
    </w:p>
    <w:p w14:paraId="58E517B0">
      <w:pPr>
        <w:pStyle w:val="2"/>
        <w:keepNext w:val="0"/>
        <w:keepLines w:val="0"/>
        <w:pageBreakBefore w:val="0"/>
        <w:widowControl w:val="0"/>
        <w:shd w:val="clear" w:color="auto" w:fill="auto"/>
        <w:kinsoku/>
        <w:wordWrap/>
        <w:overflowPunct/>
        <w:topLinePunct w:val="0"/>
        <w:autoSpaceDE/>
        <w:autoSpaceDN/>
        <w:bidi w:val="0"/>
        <w:spacing w:line="580" w:lineRule="exact"/>
        <w:rPr>
          <w:sz w:val="32"/>
          <w:szCs w:val="32"/>
        </w:rPr>
      </w:pPr>
    </w:p>
    <w:p w14:paraId="1E6D41AB">
      <w:pPr>
        <w:keepNext w:val="0"/>
        <w:keepLines w:val="0"/>
        <w:pageBreakBefore w:val="0"/>
        <w:widowControl w:val="0"/>
        <w:shd w:val="clear" w:color="auto" w:fill="auto"/>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十八</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方正黑体_GBK" w:hAnsi="黑体" w:eastAsia="方正黑体_GBK" w:cs="方正楷体_GBK"/>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eastAsia="zh-CN"/>
        </w:rPr>
        <w:t>各级财政部门、科技部门按照全面实施预算绩效管理的要求，建立健全全过程预算绩效管理机制，加强对全过程预算绩效跟踪和监督。自治区</w:t>
      </w:r>
      <w:r>
        <w:rPr>
          <w:rFonts w:hint="eastAsia" w:ascii="仿宋_GB2312" w:hAnsi="仿宋_GB2312" w:eastAsia="仿宋_GB2312" w:cs="仿宋_GB2312"/>
          <w:kern w:val="0"/>
          <w:sz w:val="32"/>
          <w:szCs w:val="32"/>
          <w:shd w:val="clear" w:color="auto" w:fill="FFFFFF"/>
        </w:rPr>
        <w:t>财政厅加强对本级资金预算管理有关工作的监督。</w:t>
      </w:r>
      <w:r>
        <w:rPr>
          <w:rFonts w:hint="eastAsia" w:ascii="仿宋_GB2312" w:hAnsi="仿宋_GB2312" w:eastAsia="仿宋_GB2312" w:cs="仿宋_GB2312"/>
          <w:kern w:val="0"/>
          <w:sz w:val="32"/>
          <w:szCs w:val="32"/>
          <w:shd w:val="clear" w:color="auto" w:fill="FFFFFF"/>
          <w:lang w:eastAsia="zh-CN"/>
        </w:rPr>
        <w:t>自治区</w:t>
      </w:r>
      <w:r>
        <w:rPr>
          <w:rFonts w:hint="eastAsia" w:ascii="仿宋_GB2312" w:hAnsi="仿宋_GB2312" w:eastAsia="仿宋_GB2312" w:cs="仿宋_GB2312"/>
          <w:kern w:val="0"/>
          <w:sz w:val="32"/>
          <w:szCs w:val="32"/>
          <w:shd w:val="clear" w:color="auto" w:fill="FFFFFF"/>
        </w:rPr>
        <w:t>科技厅加强对引导资金使用管理情况的监督，落实预算绩效管理要求，开展绩效目标管理、绩效运行监控、绩效评价和绩效结果应用、绩效信息公开等工作。项目</w:t>
      </w:r>
      <w:r>
        <w:rPr>
          <w:rFonts w:hint="eastAsia" w:ascii="仿宋_GB2312" w:hAnsi="仿宋_GB2312" w:eastAsia="仿宋_GB2312" w:cs="仿宋_GB2312"/>
          <w:kern w:val="0"/>
          <w:sz w:val="32"/>
          <w:szCs w:val="32"/>
          <w:shd w:val="clear" w:color="auto" w:fill="FFFFFF"/>
          <w:lang w:eastAsia="zh-CN"/>
        </w:rPr>
        <w:t>推荐单位和</w:t>
      </w:r>
      <w:r>
        <w:rPr>
          <w:rFonts w:hint="eastAsia" w:ascii="仿宋_GB2312" w:hAnsi="仿宋_GB2312" w:eastAsia="仿宋_GB2312" w:cs="仿宋_GB2312"/>
          <w:kern w:val="0"/>
          <w:sz w:val="32"/>
          <w:szCs w:val="32"/>
          <w:shd w:val="clear" w:color="auto" w:fill="FFFFFF"/>
        </w:rPr>
        <w:t>部门、项目承担单位应按规定管理使用引导资金，开展全过程绩效管理。</w:t>
      </w:r>
      <w:r>
        <w:rPr>
          <w:rFonts w:hint="eastAsia" w:ascii="仿宋_GB2312" w:hAnsi="仿宋_GB2312" w:eastAsia="仿宋_GB2312" w:cs="仿宋_GB2312"/>
          <w:kern w:val="0"/>
          <w:sz w:val="32"/>
          <w:szCs w:val="32"/>
          <w:shd w:val="clear" w:color="auto" w:fill="FFFFFF"/>
          <w:lang w:eastAsia="zh-CN"/>
        </w:rPr>
        <w:t>自治区</w:t>
      </w:r>
      <w:r>
        <w:rPr>
          <w:rFonts w:hint="eastAsia" w:ascii="仿宋_GB2312" w:hAnsi="仿宋_GB2312" w:eastAsia="仿宋_GB2312" w:cs="仿宋_GB2312"/>
          <w:kern w:val="0"/>
          <w:sz w:val="32"/>
          <w:szCs w:val="32"/>
          <w:shd w:val="clear" w:color="auto" w:fill="FFFFFF"/>
        </w:rPr>
        <w:t>财政</w:t>
      </w:r>
      <w:r>
        <w:rPr>
          <w:rFonts w:hint="eastAsia" w:ascii="仿宋_GB2312" w:hAnsi="仿宋_GB2312" w:eastAsia="仿宋_GB2312" w:cs="仿宋_GB2312"/>
          <w:kern w:val="0"/>
          <w:sz w:val="32"/>
          <w:szCs w:val="32"/>
          <w:shd w:val="clear" w:color="auto" w:fill="FFFFFF"/>
          <w:lang w:eastAsia="zh-CN"/>
        </w:rPr>
        <w:t>厅</w:t>
      </w:r>
      <w:r>
        <w:rPr>
          <w:rFonts w:hint="eastAsia" w:ascii="仿宋_GB2312" w:hAnsi="仿宋_GB2312" w:eastAsia="仿宋_GB2312" w:cs="仿宋_GB2312"/>
          <w:kern w:val="0"/>
          <w:sz w:val="32"/>
          <w:szCs w:val="32"/>
          <w:shd w:val="clear" w:color="auto" w:fill="FFFFFF"/>
        </w:rPr>
        <w:t>根据工作需要适时组织重点绩效评价。绩效评价结果作为预算安排、政策调整、改进管理的重要依据。绩效评价工作可以按照相关规定引入第三方机构参与</w:t>
      </w:r>
      <w:r>
        <w:rPr>
          <w:rFonts w:hint="eastAsia" w:ascii="仿宋_GB2312" w:hAnsi="仿宋_GB2312" w:eastAsia="仿宋_GB2312" w:cs="仿宋_GB2312"/>
          <w:kern w:val="0"/>
          <w:sz w:val="32"/>
          <w:szCs w:val="32"/>
          <w:shd w:val="clear" w:color="auto" w:fill="FFFFFF"/>
          <w:lang w:eastAsia="zh-CN"/>
        </w:rPr>
        <w:t>。</w:t>
      </w:r>
    </w:p>
    <w:p w14:paraId="735CAF12">
      <w:pPr>
        <w:keepNext w:val="0"/>
        <w:keepLines w:val="0"/>
        <w:pageBreakBefore w:val="0"/>
        <w:widowControl w:val="0"/>
        <w:shd w:val="clear" w:color="auto" w:fill="auto"/>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十九</w:t>
      </w:r>
      <w:r>
        <w:rPr>
          <w:rFonts w:hint="eastAsia" w:ascii="方正黑体_GBK" w:hAnsi="黑体" w:eastAsia="方正黑体_GBK" w:cs="方正楷体_GBK"/>
          <w:kern w:val="0"/>
          <w:sz w:val="32"/>
          <w:szCs w:val="32"/>
          <w:shd w:val="clear" w:color="auto" w:fill="FFFFFF"/>
        </w:rPr>
        <w:t>条</w:t>
      </w:r>
      <w:r>
        <w:rPr>
          <w:rFonts w:hint="eastAsia" w:ascii="黑体" w:hAnsi="宋体" w:eastAsia="黑体" w:cs="黑体"/>
          <w:sz w:val="32"/>
          <w:szCs w:val="32"/>
        </w:rPr>
        <w:t xml:space="preserve"> </w:t>
      </w:r>
      <w:r>
        <w:rPr>
          <w:rFonts w:hint="eastAsia" w:ascii="黑体" w:hAnsi="宋体" w:eastAsia="黑体" w:cs="黑体"/>
          <w:sz w:val="32"/>
          <w:szCs w:val="32"/>
          <w:lang w:val="en-US" w:eastAsia="zh-CN"/>
        </w:rPr>
        <w:t xml:space="preserve"> </w:t>
      </w:r>
      <w:r>
        <w:rPr>
          <w:rFonts w:hint="eastAsia" w:ascii="仿宋_GB2312" w:hAnsi="仿宋_GB2312" w:eastAsia="仿宋_GB2312" w:cs="仿宋_GB2312"/>
          <w:kern w:val="0"/>
          <w:sz w:val="32"/>
          <w:szCs w:val="32"/>
          <w:shd w:val="clear" w:color="auto" w:fill="FFFFFF"/>
          <w:lang w:eastAsia="zh-CN"/>
        </w:rPr>
        <w:t>项目承担单位于每</w:t>
      </w:r>
      <w:r>
        <w:rPr>
          <w:rFonts w:hint="default" w:ascii="Times New Roman" w:hAnsi="Times New Roman" w:eastAsia="仿宋_GB2312" w:cs="Times New Roman"/>
          <w:kern w:val="0"/>
          <w:sz w:val="32"/>
          <w:szCs w:val="32"/>
          <w:shd w:val="clear" w:color="auto" w:fill="FFFFFF"/>
          <w:lang w:eastAsia="zh-CN"/>
        </w:rPr>
        <w:t>年</w:t>
      </w:r>
      <w:r>
        <w:rPr>
          <w:rFonts w:hint="default" w:ascii="Times New Roman" w:hAnsi="Times New Roman" w:eastAsia="仿宋_GB2312" w:cs="Times New Roman"/>
          <w:kern w:val="0"/>
          <w:sz w:val="32"/>
          <w:szCs w:val="32"/>
          <w:shd w:val="clear" w:color="auto" w:fill="FFFFFF"/>
          <w:lang w:val="en-US" w:eastAsia="zh-CN"/>
        </w:rPr>
        <w:t>1月10日</w:t>
      </w:r>
      <w:r>
        <w:rPr>
          <w:rFonts w:hint="default" w:ascii="Times New Roman" w:hAnsi="Times New Roman" w:eastAsia="仿宋_GB2312" w:cs="Times New Roman"/>
          <w:kern w:val="0"/>
          <w:sz w:val="32"/>
          <w:szCs w:val="32"/>
          <w:shd w:val="clear" w:color="auto" w:fill="FFFFFF"/>
          <w:lang w:eastAsia="zh-CN"/>
        </w:rPr>
        <w:t>前向自</w:t>
      </w:r>
      <w:r>
        <w:rPr>
          <w:rFonts w:hint="eastAsia" w:ascii="仿宋_GB2312" w:hAnsi="仿宋_GB2312" w:eastAsia="仿宋_GB2312" w:cs="仿宋_GB2312"/>
          <w:kern w:val="0"/>
          <w:sz w:val="32"/>
          <w:szCs w:val="32"/>
          <w:shd w:val="clear" w:color="auto" w:fill="FFFFFF"/>
          <w:lang w:eastAsia="zh-CN"/>
        </w:rPr>
        <w:t>治区科技厅报送引导资金上一年度绩效自评报告，主要包括本年度引导资金支出情况、组织实施情况、绩效情况等。项目承担单位对报送的数据和信息的真实性、准确性负责。</w:t>
      </w:r>
    </w:p>
    <w:p w14:paraId="1AC59EF2">
      <w:pPr>
        <w:keepNext w:val="0"/>
        <w:keepLines w:val="0"/>
        <w:pageBreakBefore w:val="0"/>
        <w:widowControl w:val="0"/>
        <w:shd w:val="clear" w:color="auto" w:fill="auto"/>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自治区科技厅会同自治区财政厅</w:t>
      </w:r>
      <w:r>
        <w:rPr>
          <w:rFonts w:hint="default" w:ascii="Times New Roman" w:hAnsi="Times New Roman" w:eastAsia="仿宋_GB2312" w:cs="Times New Roman"/>
          <w:kern w:val="0"/>
          <w:sz w:val="32"/>
          <w:szCs w:val="32"/>
          <w:shd w:val="clear" w:color="auto" w:fill="FFFFFF"/>
          <w:lang w:eastAsia="zh-CN"/>
        </w:rPr>
        <w:t>每年1月31日前向科技部</w:t>
      </w:r>
      <w:r>
        <w:rPr>
          <w:rFonts w:hint="eastAsia" w:ascii="仿宋_GB2312" w:hAnsi="仿宋_GB2312" w:eastAsia="仿宋_GB2312" w:cs="仿宋_GB2312"/>
          <w:kern w:val="0"/>
          <w:sz w:val="32"/>
          <w:szCs w:val="32"/>
          <w:shd w:val="clear" w:color="auto" w:fill="FFFFFF"/>
          <w:lang w:eastAsia="zh-CN"/>
        </w:rPr>
        <w:t>、财政部报送当年引导资金区域绩效目标表和上一年度绩效自评报告，并抄送财政部广西监管局。</w:t>
      </w:r>
    </w:p>
    <w:p w14:paraId="5515D737">
      <w:pPr>
        <w:keepNext w:val="0"/>
        <w:keepLines w:val="0"/>
        <w:pageBreakBefore w:val="0"/>
        <w:widowControl w:val="0"/>
        <w:numPr>
          <w:ilvl w:val="0"/>
          <w:numId w:val="0"/>
        </w:numPr>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二十</w:t>
      </w:r>
      <w:r>
        <w:rPr>
          <w:rFonts w:hint="eastAsia" w:ascii="方正黑体_GBK" w:hAnsi="黑体" w:eastAsia="方正黑体_GBK" w:cs="方正楷体_GBK"/>
          <w:kern w:val="0"/>
          <w:sz w:val="32"/>
          <w:szCs w:val="32"/>
          <w:shd w:val="clear" w:color="auto" w:fill="FFFFFF"/>
        </w:rPr>
        <w:t>条</w:t>
      </w:r>
      <w:r>
        <w:rPr>
          <w:rFonts w:hint="eastAsia" w:ascii="仿宋_GB2312" w:hAnsi="Times New Roman" w:eastAsia="仿宋_GB2312" w:cs="仿宋_GB2312"/>
          <w:sz w:val="32"/>
          <w:szCs w:val="32"/>
        </w:rPr>
        <w:t xml:space="preserve"> </w:t>
      </w:r>
      <w:r>
        <w:rPr>
          <w:rFonts w:hint="eastAsia" w:ascii="仿宋_GB2312" w:hAnsi="Times New Roman" w:eastAsia="仿宋_GB2312" w:cs="仿宋_GB2312"/>
          <w:sz w:val="32"/>
          <w:szCs w:val="32"/>
          <w:lang w:val="en-US" w:eastAsia="zh-CN"/>
        </w:rPr>
        <w:t xml:space="preserve"> </w:t>
      </w:r>
      <w:r>
        <w:rPr>
          <w:rFonts w:hint="eastAsia" w:ascii="仿宋_GB2312" w:hAnsi="仿宋_GB2312" w:eastAsia="仿宋_GB2312" w:cs="仿宋_GB2312"/>
          <w:kern w:val="0"/>
          <w:sz w:val="32"/>
          <w:szCs w:val="32"/>
          <w:shd w:val="clear" w:color="auto" w:fill="FFFFFF"/>
        </w:rPr>
        <w:t>项目承担单位应当切实加强项目预算绩效管理，强化预算执行，不断提高资金使用绩效。</w:t>
      </w:r>
      <w:r>
        <w:rPr>
          <w:rFonts w:hint="eastAsia" w:ascii="仿宋_GB2312" w:hAnsi="仿宋_GB2312" w:eastAsia="仿宋_GB2312" w:cs="仿宋_GB2312"/>
          <w:kern w:val="0"/>
          <w:sz w:val="32"/>
          <w:szCs w:val="32"/>
          <w:shd w:val="clear" w:color="auto" w:fill="FFFFFF"/>
          <w:lang w:eastAsia="zh-CN"/>
        </w:rPr>
        <w:t>项目管理机构</w:t>
      </w:r>
      <w:r>
        <w:rPr>
          <w:rFonts w:hint="eastAsia" w:ascii="仿宋_GB2312" w:hAnsi="仿宋_GB2312" w:eastAsia="仿宋_GB2312" w:cs="仿宋_GB2312"/>
          <w:kern w:val="0"/>
          <w:sz w:val="32"/>
          <w:szCs w:val="32"/>
          <w:shd w:val="clear" w:color="auto" w:fill="FFFFFF"/>
        </w:rPr>
        <w:t>发现违规使用资金、损失浪费严重、低效无效等重大问题的，应当按照程序及时报告</w:t>
      </w:r>
      <w:r>
        <w:rPr>
          <w:rFonts w:hint="eastAsia" w:ascii="仿宋_GB2312" w:hAnsi="仿宋_GB2312" w:eastAsia="仿宋_GB2312" w:cs="仿宋_GB2312"/>
          <w:kern w:val="0"/>
          <w:sz w:val="32"/>
          <w:szCs w:val="32"/>
          <w:shd w:val="clear" w:color="auto" w:fill="FFFFFF"/>
          <w:lang w:eastAsia="zh-CN"/>
        </w:rPr>
        <w:t>自治区</w:t>
      </w:r>
      <w:r>
        <w:rPr>
          <w:rFonts w:hint="eastAsia" w:ascii="仿宋_GB2312" w:hAnsi="仿宋_GB2312" w:eastAsia="仿宋_GB2312" w:cs="仿宋_GB2312"/>
          <w:kern w:val="0"/>
          <w:sz w:val="32"/>
          <w:szCs w:val="32"/>
          <w:shd w:val="clear" w:color="auto" w:fill="FFFFFF"/>
        </w:rPr>
        <w:t>财政厅、</w:t>
      </w:r>
      <w:r>
        <w:rPr>
          <w:rFonts w:hint="eastAsia" w:ascii="仿宋_GB2312" w:hAnsi="仿宋_GB2312" w:eastAsia="仿宋_GB2312" w:cs="仿宋_GB2312"/>
          <w:kern w:val="0"/>
          <w:sz w:val="32"/>
          <w:szCs w:val="32"/>
          <w:shd w:val="clear" w:color="auto" w:fill="FFFFFF"/>
          <w:lang w:eastAsia="zh-CN"/>
        </w:rPr>
        <w:t>自治区</w:t>
      </w:r>
      <w:r>
        <w:rPr>
          <w:rFonts w:hint="eastAsia" w:ascii="仿宋_GB2312" w:hAnsi="仿宋_GB2312" w:eastAsia="仿宋_GB2312" w:cs="仿宋_GB2312"/>
          <w:kern w:val="0"/>
          <w:sz w:val="32"/>
          <w:szCs w:val="32"/>
          <w:shd w:val="clear" w:color="auto" w:fill="FFFFFF"/>
        </w:rPr>
        <w:t>科技厅。</w:t>
      </w:r>
    </w:p>
    <w:p w14:paraId="1D360CAA">
      <w:pPr>
        <w:keepNext w:val="0"/>
        <w:keepLines w:val="0"/>
        <w:pageBreakBefore w:val="0"/>
        <w:widowControl w:val="0"/>
        <w:numPr>
          <w:ilvl w:val="0"/>
          <w:numId w:val="0"/>
        </w:numPr>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w:t>
      </w:r>
      <w:r>
        <w:rPr>
          <w:rFonts w:hint="eastAsia" w:ascii="方正黑体_GBK" w:hAnsi="黑体" w:eastAsia="方正黑体_GBK" w:cs="方正楷体_GBK"/>
          <w:kern w:val="0"/>
          <w:sz w:val="32"/>
          <w:szCs w:val="32"/>
          <w:shd w:val="clear" w:color="auto" w:fill="FFFFFF"/>
          <w:lang w:eastAsia="zh-CN"/>
        </w:rPr>
        <w:t>二十一</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项目承担单位是引导资金使用和管理的责任主体</w:t>
      </w:r>
      <w:r>
        <w:rPr>
          <w:rFonts w:hint="eastAsia" w:ascii="仿宋_GB2312" w:hAnsi="仿宋_GB2312" w:eastAsia="仿宋_GB2312" w:cs="仿宋_GB2312"/>
          <w:kern w:val="0"/>
          <w:sz w:val="32"/>
          <w:szCs w:val="32"/>
          <w:shd w:val="clear" w:color="auto" w:fill="FFFFFF"/>
        </w:rPr>
        <w:t>，应</w:t>
      </w:r>
      <w:r>
        <w:rPr>
          <w:rFonts w:hint="eastAsia" w:ascii="仿宋_GB2312" w:hAnsi="仿宋_GB2312" w:eastAsia="仿宋_GB2312" w:cs="仿宋_GB2312"/>
          <w:kern w:val="0"/>
          <w:sz w:val="32"/>
          <w:szCs w:val="32"/>
          <w:shd w:val="clear" w:color="auto" w:fill="FFFFFF"/>
          <w:lang w:eastAsia="zh-CN"/>
        </w:rPr>
        <w:t>当</w:t>
      </w:r>
      <w:r>
        <w:rPr>
          <w:rFonts w:hint="eastAsia" w:ascii="仿宋_GB2312" w:hAnsi="仿宋_GB2312" w:eastAsia="仿宋_GB2312" w:cs="仿宋_GB2312"/>
          <w:kern w:val="0"/>
          <w:sz w:val="32"/>
          <w:szCs w:val="32"/>
          <w:shd w:val="clear" w:color="auto" w:fill="FFFFFF"/>
        </w:rPr>
        <w:t>严格执行国家</w:t>
      </w:r>
      <w:r>
        <w:rPr>
          <w:rFonts w:hint="eastAsia" w:ascii="仿宋_GB2312" w:hAnsi="仿宋_GB2312" w:eastAsia="仿宋_GB2312" w:cs="仿宋_GB2312"/>
          <w:kern w:val="0"/>
          <w:sz w:val="32"/>
          <w:szCs w:val="32"/>
          <w:shd w:val="clear" w:color="auto" w:fill="FFFFFF"/>
          <w:lang w:eastAsia="zh-CN"/>
        </w:rPr>
        <w:t>会计</w:t>
      </w:r>
      <w:r>
        <w:rPr>
          <w:rFonts w:hint="eastAsia" w:ascii="仿宋_GB2312" w:hAnsi="仿宋_GB2312" w:eastAsia="仿宋_GB2312" w:cs="仿宋_GB2312"/>
          <w:kern w:val="0"/>
          <w:sz w:val="32"/>
          <w:szCs w:val="32"/>
          <w:shd w:val="clear" w:color="auto" w:fill="FFFFFF"/>
        </w:rPr>
        <w:t>法律法规制度</w:t>
      </w:r>
      <w:r>
        <w:rPr>
          <w:rFonts w:hint="eastAsia" w:ascii="仿宋_GB2312" w:hAnsi="仿宋_GB2312" w:eastAsia="仿宋_GB2312" w:cs="仿宋_GB2312"/>
          <w:kern w:val="0"/>
          <w:sz w:val="32"/>
          <w:szCs w:val="32"/>
          <w:shd w:val="clear" w:color="auto" w:fill="FFFFFF"/>
          <w:lang w:eastAsia="zh-CN"/>
        </w:rPr>
        <w:t>，完善内部风险防控机制，并自觉接受主管部门、财政、审计和监察等部门的监督检查及绩效评价。要认真落实国家和自治区有关赋予科研项目经费管理使用自主权和其他相关改革的要求，落实项目预算调剂、间接费用统筹使用、结余资金使用、仪器设备采购等方面政策措施，切实减轻科研人员负担。</w:t>
      </w:r>
    </w:p>
    <w:p w14:paraId="659F33E1">
      <w:pPr>
        <w:keepNext w:val="0"/>
        <w:keepLines w:val="0"/>
        <w:pageBreakBefore w:val="0"/>
        <w:widowControl w:val="0"/>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黑体" w:eastAsia="方正黑体_GBK" w:cs="方正楷体_GBK"/>
          <w:kern w:val="0"/>
          <w:sz w:val="32"/>
          <w:szCs w:val="32"/>
          <w:shd w:val="clear" w:color="auto" w:fill="FFFFFF"/>
          <w:lang w:val="en-US" w:eastAsia="zh-CN"/>
        </w:rPr>
        <w:t>第二十二条</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项目承担单位和个人在引导资金使用过程中存在各类违法违规行为的，按照《中华人民共和国预算法》及其实施条例、《财政违法行为处罚处分条例》等国家有关规定追究相应责任。涉嫌犯罪的，依法移送有关机关处理。对严重违规、违纪、违法犯罪的相关责任主体，按程序纳入科研严重失信行为记录。</w:t>
      </w:r>
    </w:p>
    <w:p w14:paraId="2CC645E2">
      <w:pPr>
        <w:keepNext w:val="0"/>
        <w:keepLines w:val="0"/>
        <w:pageBreakBefore w:val="0"/>
        <w:widowControl w:val="0"/>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lang w:val="en-US" w:eastAsia="zh-CN"/>
        </w:rPr>
        <w:t>第二十三条</w:t>
      </w:r>
      <w:r>
        <w:rPr>
          <w:rFonts w:hint="eastAsia" w:ascii="Times New Roman" w:hAnsi="Times New Roman" w:eastAsia="方正仿宋_GBK"/>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各级财政部门、科技部门及其工作人员在引导资金分配、使用、管理等相关工作中，存在违反本办法规定，以及其他滥用职权、玩忽职守、徇私舞弊等违法违纪行为的，依法责令改正；对负有责任的领导人员和直接责任人员依法给予处分。涉嫌犯罪的，依法移送有关机关处理。</w:t>
      </w:r>
    </w:p>
    <w:p w14:paraId="42F5B9C6">
      <w:pPr>
        <w:keepNext w:val="0"/>
        <w:keepLines w:val="0"/>
        <w:pageBreakBefore w:val="0"/>
        <w:widowControl w:val="0"/>
        <w:shd w:val="clear" w:color="auto" w:fill="auto"/>
        <w:tabs>
          <w:tab w:val="left" w:pos="1650"/>
        </w:tabs>
        <w:kinsoku/>
        <w:wordWrap/>
        <w:overflowPunct/>
        <w:topLinePunct w:val="0"/>
        <w:autoSpaceDE/>
        <w:autoSpaceDN/>
        <w:bidi w:val="0"/>
        <w:spacing w:line="580" w:lineRule="exact"/>
        <w:textAlignment w:val="auto"/>
        <w:rPr>
          <w:rFonts w:ascii="Times New Roman" w:hAnsi="Times New Roman" w:eastAsia="方正仿宋_GBK"/>
          <w:kern w:val="0"/>
          <w:sz w:val="32"/>
          <w:szCs w:val="32"/>
          <w:shd w:val="clear" w:color="auto" w:fill="FFFFFF"/>
        </w:rPr>
      </w:pPr>
    </w:p>
    <w:p w14:paraId="2C612C58">
      <w:pPr>
        <w:keepNext w:val="0"/>
        <w:keepLines w:val="0"/>
        <w:pageBreakBefore w:val="0"/>
        <w:widowControl w:val="0"/>
        <w:shd w:val="clear" w:color="auto" w:fill="auto"/>
        <w:kinsoku/>
        <w:wordWrap/>
        <w:overflowPunct/>
        <w:topLinePunct w:val="0"/>
        <w:autoSpaceDE/>
        <w:autoSpaceDN/>
        <w:bidi w:val="0"/>
        <w:spacing w:line="580" w:lineRule="exact"/>
        <w:jc w:val="center"/>
        <w:textAlignment w:val="auto"/>
        <w:rPr>
          <w:rFonts w:hint="eastAsia" w:ascii="方正黑体_GBK" w:hAnsi="宋体" w:eastAsia="方正黑体_GBK" w:cs="宋体"/>
          <w:color w:val="000000"/>
          <w:kern w:val="0"/>
          <w:sz w:val="32"/>
          <w:szCs w:val="32"/>
          <w:shd w:val="clear" w:color="auto" w:fill="FFFFFF"/>
        </w:rPr>
      </w:pPr>
      <w:r>
        <w:rPr>
          <w:rFonts w:hint="eastAsia" w:ascii="方正黑体_GBK" w:hAnsi="宋体" w:eastAsia="方正黑体_GBK" w:cs="宋体"/>
          <w:color w:val="000000"/>
          <w:kern w:val="0"/>
          <w:sz w:val="32"/>
          <w:szCs w:val="32"/>
          <w:shd w:val="clear" w:color="auto" w:fill="FFFFFF"/>
        </w:rPr>
        <w:t>第五章  附  则</w:t>
      </w:r>
    </w:p>
    <w:p w14:paraId="07DCC236">
      <w:pPr>
        <w:pStyle w:val="2"/>
        <w:keepNext w:val="0"/>
        <w:keepLines w:val="0"/>
        <w:pageBreakBefore w:val="0"/>
        <w:widowControl w:val="0"/>
        <w:shd w:val="clear" w:color="auto" w:fill="auto"/>
        <w:kinsoku/>
        <w:wordWrap/>
        <w:overflowPunct/>
        <w:topLinePunct w:val="0"/>
        <w:autoSpaceDE/>
        <w:autoSpaceDN/>
        <w:bidi w:val="0"/>
        <w:spacing w:line="580" w:lineRule="exact"/>
        <w:rPr>
          <w:sz w:val="32"/>
          <w:szCs w:val="32"/>
        </w:rPr>
      </w:pPr>
    </w:p>
    <w:p w14:paraId="5EADCD22">
      <w:pPr>
        <w:keepNext w:val="0"/>
        <w:keepLines w:val="0"/>
        <w:pageBreakBefore w:val="0"/>
        <w:widowControl w:val="0"/>
        <w:shd w:val="clear" w:color="auto" w:fill="auto"/>
        <w:tabs>
          <w:tab w:val="left" w:pos="16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黑体_GBK" w:hAnsi="黑体" w:eastAsia="方正黑体_GBK" w:cs="方正楷体_GBK"/>
          <w:kern w:val="0"/>
          <w:sz w:val="32"/>
          <w:szCs w:val="32"/>
          <w:shd w:val="clear" w:color="auto" w:fill="FFFFFF"/>
        </w:rPr>
        <w:t>第二十</w:t>
      </w:r>
      <w:r>
        <w:rPr>
          <w:rFonts w:hint="eastAsia" w:ascii="方正黑体_GBK" w:hAnsi="黑体" w:eastAsia="方正黑体_GBK" w:cs="方正楷体_GBK"/>
          <w:kern w:val="0"/>
          <w:sz w:val="32"/>
          <w:szCs w:val="32"/>
          <w:shd w:val="clear" w:color="auto" w:fill="FFFFFF"/>
          <w:lang w:eastAsia="zh-CN"/>
        </w:rPr>
        <w:t>四</w:t>
      </w:r>
      <w:r>
        <w:rPr>
          <w:rFonts w:hint="eastAsia" w:ascii="方正黑体_GBK" w:hAnsi="黑体" w:eastAsia="方正黑体_GBK" w:cs="方正楷体_GBK"/>
          <w:kern w:val="0"/>
          <w:sz w:val="32"/>
          <w:szCs w:val="32"/>
          <w:shd w:val="clear" w:color="auto" w:fill="FFFFFF"/>
        </w:rPr>
        <w:t>条</w:t>
      </w:r>
      <w:r>
        <w:rPr>
          <w:rFonts w:hint="eastAsia" w:ascii="方正黑体_GBK" w:hAnsi="黑体" w:eastAsia="方正黑体_GBK" w:cs="方正楷体_GBK"/>
          <w:kern w:val="0"/>
          <w:sz w:val="32"/>
          <w:szCs w:val="32"/>
          <w:shd w:val="clear" w:color="auto" w:fill="FFFFFF"/>
          <w:lang w:val="en-US" w:eastAsia="zh-CN"/>
        </w:rPr>
        <w:t xml:space="preserve"> </w:t>
      </w:r>
      <w:r>
        <w:rPr>
          <w:rFonts w:hint="eastAsia" w:ascii="仿宋_GB2312" w:hAnsi="Times New Roman" w:eastAsia="仿宋_GB2312" w:cs="仿宋_GB2312"/>
          <w:sz w:val="32"/>
          <w:szCs w:val="32"/>
        </w:rPr>
        <w:t xml:space="preserve"> </w:t>
      </w:r>
      <w:r>
        <w:rPr>
          <w:rFonts w:hint="eastAsia" w:ascii="仿宋_GB2312" w:hAnsi="仿宋_GB2312" w:eastAsia="仿宋_GB2312" w:cs="仿宋_GB2312"/>
          <w:kern w:val="0"/>
          <w:sz w:val="32"/>
          <w:szCs w:val="32"/>
          <w:shd w:val="clear" w:color="auto" w:fill="FFFFFF"/>
        </w:rPr>
        <w:t>本办法由自治区科技厅会同自治区财政厅负责解释。</w:t>
      </w:r>
    </w:p>
    <w:p w14:paraId="6EE92051">
      <w:pPr>
        <w:keepNext w:val="0"/>
        <w:keepLines w:val="0"/>
        <w:pageBreakBefore w:val="0"/>
        <w:widowControl w:val="0"/>
        <w:shd w:val="clear" w:color="auto" w:fill="auto"/>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方正黑体_GBK" w:hAnsi="黑体" w:eastAsia="方正黑体_GBK" w:cs="方正楷体_GBK"/>
          <w:kern w:val="0"/>
          <w:sz w:val="32"/>
          <w:szCs w:val="32"/>
          <w:shd w:val="clear" w:color="auto" w:fill="FFFFFF"/>
        </w:rPr>
        <w:t>第二十</w:t>
      </w:r>
      <w:r>
        <w:rPr>
          <w:rFonts w:hint="eastAsia" w:ascii="方正黑体_GBK" w:hAnsi="黑体" w:eastAsia="方正黑体_GBK" w:cs="方正楷体_GBK"/>
          <w:kern w:val="0"/>
          <w:sz w:val="32"/>
          <w:szCs w:val="32"/>
          <w:shd w:val="clear" w:color="auto" w:fill="FFFFFF"/>
          <w:lang w:eastAsia="zh-CN"/>
        </w:rPr>
        <w:t>五</w:t>
      </w:r>
      <w:r>
        <w:rPr>
          <w:rFonts w:hint="eastAsia" w:ascii="方正黑体_GBK" w:hAnsi="黑体" w:eastAsia="方正黑体_GBK" w:cs="方正楷体_GBK"/>
          <w:kern w:val="0"/>
          <w:sz w:val="32"/>
          <w:szCs w:val="32"/>
          <w:shd w:val="clear" w:color="auto" w:fill="FFFFFF"/>
        </w:rPr>
        <w:t>条</w:t>
      </w:r>
      <w:r>
        <w:rPr>
          <w:rFonts w:hint="eastAsia"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shd w:val="clear" w:color="auto" w:fill="FFFFFF"/>
        </w:rPr>
        <w:t>本办法自</w:t>
      </w:r>
      <w:r>
        <w:rPr>
          <w:rFonts w:hint="eastAsia" w:ascii="仿宋_GB2312" w:hAnsi="仿宋_GB2312" w:eastAsia="仿宋_GB2312" w:cs="仿宋_GB2312"/>
          <w:kern w:val="0"/>
          <w:sz w:val="32"/>
          <w:szCs w:val="32"/>
          <w:shd w:val="clear" w:color="auto" w:fill="FFFFFF"/>
          <w:lang w:eastAsia="zh-CN"/>
        </w:rPr>
        <w:t>印发之日起施行，</w:t>
      </w:r>
      <w:r>
        <w:rPr>
          <w:rFonts w:hint="default" w:ascii="Times New Roman" w:hAnsi="Times New Roman" w:eastAsia="仿宋_GB2312" w:cs="Times New Roman"/>
          <w:kern w:val="0"/>
          <w:sz w:val="32"/>
          <w:szCs w:val="32"/>
          <w:shd w:val="clear" w:color="auto" w:fill="FFFFFF"/>
          <w:lang w:eastAsia="zh-CN"/>
        </w:rPr>
        <w:t>有效期5年</w:t>
      </w:r>
      <w:r>
        <w:rPr>
          <w:rFonts w:hint="eastAsia" w:ascii="仿宋_GB2312" w:hAnsi="仿宋_GB2312" w:eastAsia="仿宋_GB2312" w:cs="仿宋_GB2312"/>
          <w:kern w:val="0"/>
          <w:sz w:val="32"/>
          <w:szCs w:val="32"/>
          <w:shd w:val="clear" w:color="auto" w:fill="FFFFFF"/>
          <w:lang w:eastAsia="zh-CN"/>
        </w:rPr>
        <w:t>。此前相关规定与本办法不一致的，依本办法执行。</w:t>
      </w:r>
    </w:p>
    <w:p w14:paraId="4D591705">
      <w:pPr>
        <w:pStyle w:val="2"/>
        <w:keepNext w:val="0"/>
        <w:keepLines w:val="0"/>
        <w:pageBreakBefore w:val="0"/>
        <w:widowControl w:val="0"/>
        <w:kinsoku/>
        <w:wordWrap/>
        <w:overflowPunct/>
        <w:topLinePunct w:val="0"/>
        <w:autoSpaceDE w:val="0"/>
        <w:autoSpaceDN w:val="0"/>
        <w:bidi w:val="0"/>
        <w:adjustRightInd w:val="0"/>
        <w:snapToGrid/>
        <w:spacing w:line="500" w:lineRule="exact"/>
        <w:textAlignment w:val="auto"/>
      </w:pPr>
      <w:bookmarkStart w:id="0" w:name="_GoBack"/>
      <w:bookmarkEnd w:id="0"/>
      <w:r>
        <w:br w:type="page"/>
      </w:r>
    </w:p>
    <w:p w14:paraId="61A0C830">
      <w:pPr>
        <w:pStyle w:val="4"/>
      </w:pPr>
    </w:p>
    <w:p w14:paraId="2DF547B5"/>
    <w:p w14:paraId="683D5BB3">
      <w:pPr>
        <w:pStyle w:val="2"/>
      </w:pPr>
    </w:p>
    <w:p w14:paraId="296104F3">
      <w:pPr>
        <w:pStyle w:val="4"/>
      </w:pPr>
    </w:p>
    <w:p w14:paraId="05DE7AE4"/>
    <w:p w14:paraId="513AED3C">
      <w:pPr>
        <w:pStyle w:val="2"/>
      </w:pPr>
    </w:p>
    <w:p w14:paraId="1FCF72F2">
      <w:pPr>
        <w:pStyle w:val="4"/>
      </w:pPr>
    </w:p>
    <w:p w14:paraId="7DE42291"/>
    <w:p w14:paraId="2E34833C">
      <w:pPr>
        <w:pStyle w:val="2"/>
      </w:pPr>
    </w:p>
    <w:p w14:paraId="29FC20A9">
      <w:pPr>
        <w:pStyle w:val="4"/>
      </w:pPr>
    </w:p>
    <w:p w14:paraId="4C348BB7"/>
    <w:p w14:paraId="5A4E01A5">
      <w:pPr>
        <w:pStyle w:val="2"/>
      </w:pPr>
    </w:p>
    <w:p w14:paraId="4F7B89AB">
      <w:pPr>
        <w:pStyle w:val="4"/>
      </w:pPr>
    </w:p>
    <w:p w14:paraId="13D0DF1D"/>
    <w:p w14:paraId="5C9B6FA3">
      <w:pPr>
        <w:pStyle w:val="2"/>
      </w:pPr>
    </w:p>
    <w:p w14:paraId="170FC946">
      <w:pPr>
        <w:pStyle w:val="4"/>
      </w:pPr>
    </w:p>
    <w:p w14:paraId="01425AFC"/>
    <w:p w14:paraId="451A2E74">
      <w:pPr>
        <w:pStyle w:val="2"/>
      </w:pPr>
    </w:p>
    <w:p w14:paraId="4FF300CF">
      <w:pPr>
        <w:pStyle w:val="4"/>
      </w:pPr>
    </w:p>
    <w:p w14:paraId="285875B3"/>
    <w:p w14:paraId="10D87D59">
      <w:pPr>
        <w:pStyle w:val="2"/>
      </w:pPr>
    </w:p>
    <w:p w14:paraId="09278550">
      <w:pPr>
        <w:pStyle w:val="4"/>
      </w:pPr>
    </w:p>
    <w:p w14:paraId="06D514AB"/>
    <w:p w14:paraId="4127A58C">
      <w:pPr>
        <w:pStyle w:val="2"/>
        <w:rPr>
          <w:rFonts w:hint="eastAsia" w:eastAsia="宋体"/>
          <w:lang w:eastAsia="zh-CN"/>
        </w:rPr>
      </w:pPr>
    </w:p>
    <w:p w14:paraId="52A8CB13">
      <w:pPr>
        <w:pStyle w:val="4"/>
      </w:pPr>
    </w:p>
    <w:p w14:paraId="7F963AE6"/>
    <w:p w14:paraId="2DD38530">
      <w:pPr>
        <w:pStyle w:val="2"/>
        <w:keepNext w:val="0"/>
        <w:keepLines w:val="0"/>
        <w:pageBreakBefore w:val="0"/>
        <w:widowControl w:val="0"/>
        <w:kinsoku/>
        <w:wordWrap/>
        <w:overflowPunct/>
        <w:topLinePunct w:val="0"/>
        <w:autoSpaceDE w:val="0"/>
        <w:autoSpaceDN w:val="0"/>
        <w:bidi w:val="0"/>
        <w:adjustRightInd w:val="0"/>
        <w:snapToGrid/>
        <w:spacing w:line="400" w:lineRule="exact"/>
        <w:textAlignment w:val="baseline"/>
      </w:pPr>
    </w:p>
    <w:p w14:paraId="4FD38C04">
      <w:pPr>
        <w:pStyle w:val="4"/>
        <w:keepNext w:val="0"/>
        <w:keepLines w:val="0"/>
        <w:pageBreakBefore w:val="0"/>
        <w:widowControl w:val="0"/>
        <w:kinsoku/>
        <w:wordWrap/>
        <w:overflowPunct/>
        <w:topLinePunct w:val="0"/>
        <w:autoSpaceDE/>
        <w:autoSpaceDN/>
        <w:bidi w:val="0"/>
        <w:adjustRightInd/>
        <w:snapToGrid/>
        <w:spacing w:line="400" w:lineRule="exact"/>
        <w:ind w:left="238"/>
        <w:textAlignment w:val="auto"/>
      </w:pPr>
    </w:p>
    <w:tbl>
      <w:tblPr>
        <w:tblStyle w:val="9"/>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35479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50B06790">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default" w:eastAsia="仿宋_GB2312"/>
                <w:sz w:val="28"/>
                <w:szCs w:val="28"/>
                <w:lang w:val="en"/>
              </w:rPr>
              <w:t xml:space="preserve">  </w:t>
            </w:r>
            <w:r>
              <w:rPr>
                <w:rFonts w:eastAsia="仿宋_GB2312"/>
                <w:sz w:val="28"/>
                <w:szCs w:val="28"/>
              </w:rPr>
              <w:t xml:space="preserve"> </w:t>
            </w:r>
            <w:r>
              <w:rPr>
                <w:rFonts w:hint="eastAsia" w:eastAsia="仿宋_GB2312"/>
                <w:sz w:val="28"/>
                <w:szCs w:val="28"/>
              </w:rPr>
              <w:t xml:space="preserve"> </w:t>
            </w:r>
            <w:r>
              <w:rPr>
                <w:rFonts w:hint="default" w:eastAsia="仿宋_GB2312"/>
                <w:sz w:val="28"/>
                <w:szCs w:val="28"/>
                <w:lang w:val="en"/>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28</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7D9234E8">
      <w:pPr>
        <w:keepNext w:val="0"/>
        <w:keepLines w:val="0"/>
        <w:pageBreakBefore w:val="0"/>
        <w:widowControl w:val="0"/>
        <w:kinsoku/>
        <w:wordWrap/>
        <w:overflowPunct/>
        <w:topLinePunct w:val="0"/>
        <w:autoSpaceDE/>
        <w:autoSpaceDN/>
        <w:bidi w:val="0"/>
        <w:adjustRightInd/>
        <w:snapToGrid/>
        <w:spacing w:line="100" w:lineRule="exact"/>
        <w:ind w:right="0" w:rightChars="0"/>
        <w:jc w:val="left"/>
        <w:textAlignment w:val="auto"/>
        <w:rPr>
          <w:rFonts w:hint="eastAsia" w:ascii="Times New Roman" w:hAnsi="Times New Roman" w:eastAsia="仿宋_GB2312"/>
          <w:color w:val="auto"/>
          <w:sz w:val="32"/>
          <w:szCs w:val="3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88265</wp:posOffset>
            </wp:positionV>
            <wp:extent cx="1790700" cy="476250"/>
            <wp:effectExtent l="0" t="0" r="7620" b="11430"/>
            <wp:wrapSquare wrapText="bothSides"/>
            <wp:docPr id="2"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3"/>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pgSz w:w="11906" w:h="16838"/>
      <w:pgMar w:top="2098" w:right="1531" w:bottom="1417" w:left="1531"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49E3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2305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E82305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36D1"/>
    <w:rsid w:val="19A64294"/>
    <w:rsid w:val="1C784846"/>
    <w:rsid w:val="1DAD2D1B"/>
    <w:rsid w:val="264439EB"/>
    <w:rsid w:val="2F49706B"/>
    <w:rsid w:val="3BF7F87F"/>
    <w:rsid w:val="3EAB0813"/>
    <w:rsid w:val="4EEC7822"/>
    <w:rsid w:val="5C3ACAC0"/>
    <w:rsid w:val="5DAF73C1"/>
    <w:rsid w:val="5DD13B37"/>
    <w:rsid w:val="5EBF6301"/>
    <w:rsid w:val="67A05FCC"/>
    <w:rsid w:val="67AC3E89"/>
    <w:rsid w:val="6CFBB66B"/>
    <w:rsid w:val="6EEA8196"/>
    <w:rsid w:val="6EFB8439"/>
    <w:rsid w:val="6FFF2626"/>
    <w:rsid w:val="727F2293"/>
    <w:rsid w:val="77EF4777"/>
    <w:rsid w:val="77F7E379"/>
    <w:rsid w:val="7DFFEE95"/>
    <w:rsid w:val="B8CDA916"/>
    <w:rsid w:val="BBEF3D10"/>
    <w:rsid w:val="BBFEB5E4"/>
    <w:rsid w:val="BF53DA06"/>
    <w:rsid w:val="BF778C43"/>
    <w:rsid w:val="DDF8A523"/>
    <w:rsid w:val="DFDD4402"/>
    <w:rsid w:val="DFF74D10"/>
    <w:rsid w:val="DFFDDAB3"/>
    <w:rsid w:val="E7DF1043"/>
    <w:rsid w:val="E9F79F13"/>
    <w:rsid w:val="EC4FD7DA"/>
    <w:rsid w:val="EDF3D053"/>
    <w:rsid w:val="F273BDCB"/>
    <w:rsid w:val="F3DF0271"/>
    <w:rsid w:val="F3E642E8"/>
    <w:rsid w:val="F7F9490A"/>
    <w:rsid w:val="F7FF805B"/>
    <w:rsid w:val="FFBFA3C0"/>
    <w:rsid w:val="FFEB0597"/>
    <w:rsid w:val="FFEFC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60" w:after="120" w:line="560" w:lineRule="exact"/>
      <w:jc w:val="center"/>
      <w:outlineLvl w:val="0"/>
    </w:pPr>
    <w:rPr>
      <w:rFonts w:ascii="Times New Roman" w:hAnsi="Times New Roman" w:eastAsia="方正小标宋简体"/>
      <w:bCs/>
      <w:sz w:val="44"/>
      <w:szCs w:val="32"/>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197</Words>
  <Characters>204</Characters>
  <Lines>0</Lines>
  <Paragraphs>0</Paragraphs>
  <TotalTime>20</TotalTime>
  <ScaleCrop>false</ScaleCrop>
  <LinksUpToDate>false</LinksUpToDate>
  <CharactersWithSpaces>215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墨迹夏子</cp:lastModifiedBy>
  <cp:lastPrinted>2025-04-28T00:37:13Z</cp:lastPrinted>
  <dcterms:modified xsi:type="dcterms:W3CDTF">2025-04-28T08:29:21Z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5E6C3089929C40F480053EB8F472E530_13</vt:lpwstr>
  </property>
</Properties>
</file>